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52F" w:rsidRPr="00D0432A" w:rsidRDefault="00B4152F" w:rsidP="00B4152F">
      <w:pPr>
        <w:tabs>
          <w:tab w:val="left" w:pos="-1843"/>
          <w:tab w:val="left" w:pos="3402"/>
        </w:tabs>
        <w:jc w:val="both"/>
        <w:rPr>
          <w:rFonts w:ascii="Arial" w:hAnsi="Arial"/>
        </w:rPr>
      </w:pPr>
    </w:p>
    <w:p w:rsidR="00E807DA" w:rsidRDefault="00EF7235" w:rsidP="00186680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</w:rPr>
      </w:pPr>
      <w:r w:rsidRPr="00D0432A">
        <w:rPr>
          <w:rFonts w:ascii="Arial" w:hAnsi="Arial" w:cs="Arial"/>
          <w:b/>
          <w:bCs/>
        </w:rPr>
        <w:t xml:space="preserve">DELIBERAÇÃO CBH-BS Nº </w:t>
      </w:r>
      <w:r w:rsidR="00614512">
        <w:rPr>
          <w:rFonts w:ascii="Arial" w:hAnsi="Arial" w:cs="Arial"/>
          <w:b/>
          <w:bCs/>
        </w:rPr>
        <w:t>26</w:t>
      </w:r>
      <w:r w:rsidR="0062663C">
        <w:rPr>
          <w:rFonts w:ascii="Arial" w:hAnsi="Arial" w:cs="Arial"/>
          <w:b/>
          <w:bCs/>
        </w:rPr>
        <w:t>5</w:t>
      </w:r>
      <w:r w:rsidR="008A42EA" w:rsidRPr="00D0432A">
        <w:rPr>
          <w:rFonts w:ascii="Arial" w:hAnsi="Arial" w:cs="Arial"/>
          <w:b/>
          <w:bCs/>
        </w:rPr>
        <w:t>/1</w:t>
      </w:r>
      <w:r w:rsidR="00EA4C48">
        <w:rPr>
          <w:rFonts w:ascii="Arial" w:hAnsi="Arial" w:cs="Arial"/>
          <w:b/>
          <w:bCs/>
        </w:rPr>
        <w:t xml:space="preserve">4 </w:t>
      </w:r>
      <w:r w:rsidR="008A42EA" w:rsidRPr="00D0432A">
        <w:rPr>
          <w:rFonts w:ascii="Arial" w:hAnsi="Arial" w:cs="Arial"/>
          <w:b/>
          <w:bCs/>
        </w:rPr>
        <w:t xml:space="preserve">de </w:t>
      </w:r>
      <w:r w:rsidR="00EA4C48">
        <w:rPr>
          <w:rFonts w:ascii="Arial" w:hAnsi="Arial" w:cs="Arial"/>
          <w:b/>
          <w:bCs/>
        </w:rPr>
        <w:t>07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F447C4">
        <w:rPr>
          <w:rFonts w:ascii="Arial" w:hAnsi="Arial" w:cs="Arial"/>
          <w:b/>
          <w:bCs/>
        </w:rPr>
        <w:t>agost</w:t>
      </w:r>
      <w:r w:rsidR="00886B43" w:rsidRPr="00D0432A">
        <w:rPr>
          <w:rFonts w:ascii="Arial" w:hAnsi="Arial" w:cs="Arial"/>
          <w:b/>
          <w:bCs/>
        </w:rPr>
        <w:t>o</w:t>
      </w:r>
      <w:r w:rsidR="007A54BB" w:rsidRPr="00D0432A">
        <w:rPr>
          <w:rFonts w:ascii="Arial" w:hAnsi="Arial" w:cs="Arial"/>
          <w:b/>
          <w:bCs/>
        </w:rPr>
        <w:t xml:space="preserve"> de </w:t>
      </w:r>
      <w:r w:rsidR="00E807DA" w:rsidRPr="00D0432A">
        <w:rPr>
          <w:rFonts w:ascii="Arial" w:hAnsi="Arial" w:cs="Arial"/>
          <w:b/>
          <w:bCs/>
        </w:rPr>
        <w:t>201</w:t>
      </w:r>
      <w:r w:rsidR="00EA4C48">
        <w:rPr>
          <w:rFonts w:ascii="Arial" w:hAnsi="Arial" w:cs="Arial"/>
          <w:b/>
          <w:bCs/>
        </w:rPr>
        <w:t>4</w:t>
      </w:r>
    </w:p>
    <w:p w:rsidR="00D72B40" w:rsidRPr="00D0432A" w:rsidRDefault="00D72B40" w:rsidP="00186680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</w:rPr>
      </w:pPr>
    </w:p>
    <w:p w:rsidR="00D72B40" w:rsidRDefault="00D72B40" w:rsidP="00D72B40">
      <w:pPr>
        <w:spacing w:after="120"/>
        <w:ind w:left="170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 xml:space="preserve">“Define as diretrizes e o cronograma para a classificação de propostas visando </w:t>
      </w:r>
      <w:r w:rsidR="00BB0996">
        <w:rPr>
          <w:rFonts w:ascii="Arial" w:eastAsia="Arial" w:hAnsi="Arial" w:cs="Arial"/>
          <w:i/>
          <w:sz w:val="20"/>
        </w:rPr>
        <w:t>à</w:t>
      </w:r>
      <w:r>
        <w:rPr>
          <w:rFonts w:ascii="Arial" w:eastAsia="Arial" w:hAnsi="Arial" w:cs="Arial"/>
          <w:i/>
          <w:sz w:val="20"/>
        </w:rPr>
        <w:t xml:space="preserve"> indicação para obtenção de financiamento com recursos</w:t>
      </w:r>
      <w:r w:rsidR="00BB0996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remanescentes cota-parte da Deliberação CBH-BS nº 264/2014 e</w:t>
      </w:r>
      <w:r w:rsidR="00BB0996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dá outras providências”</w:t>
      </w:r>
      <w:r>
        <w:rPr>
          <w:rFonts w:ascii="Arial" w:eastAsia="Arial" w:hAnsi="Arial" w:cs="Arial"/>
          <w:sz w:val="20"/>
        </w:rPr>
        <w:t>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 Comitê da Bacia Hidrográfica da Baixada Santista criado pela Lei Estadual n° 9.034 de 27/12/94, com fundamento no Artigo 19 e seguintes do Estatuto, no uso de suas atribuições legais, e considerando que: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A Câmara Técnica de Planejamento e Gerenciamento (CT-PG), revisou os critérios gerais e específicos para classificação das propostas;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O Manual de Procedimentos Operacionais (MPO) do FEHIDRO - versão 2011 define prazos para que os Colegiados deliberem e publiquem a hierarquização, priorização e indicação de empreendimentos a serem financiados com recursos da Cobrança pelo uso dos recursos hídricos;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O Plano de Bacia Hidrográfica da Baixada Santista 2008-2011, foi prorrogado até 2015, pela Deliberação CRH 159/2014 de 15 de abril de 2014, define as ações nas quais as propostas devem ser elaboradas.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Delibera</w:t>
      </w:r>
      <w:r>
        <w:rPr>
          <w:rFonts w:ascii="Arial" w:eastAsia="Arial" w:hAnsi="Arial" w:cs="Arial"/>
          <w:sz w:val="20"/>
        </w:rPr>
        <w:t>:</w:t>
      </w:r>
    </w:p>
    <w:p w:rsidR="00D72B40" w:rsidRDefault="00D72B40" w:rsidP="00D72B40">
      <w:pPr>
        <w:ind w:left="705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1º</w:t>
      </w:r>
      <w:r>
        <w:rPr>
          <w:rFonts w:ascii="Arial" w:eastAsia="Arial" w:hAnsi="Arial" w:cs="Arial"/>
          <w:sz w:val="20"/>
        </w:rPr>
        <w:t xml:space="preserve"> - Esta Deliberação revoga as disposições contidas nas Deliberações CBH-BS nº 253/13 e entra em vigor na data de sua publicação no Diário Oficial do Estado de São Paulo.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2º</w:t>
      </w:r>
      <w:r>
        <w:rPr>
          <w:rFonts w:ascii="Arial" w:eastAsia="Arial" w:hAnsi="Arial" w:cs="Arial"/>
          <w:sz w:val="20"/>
        </w:rPr>
        <w:t xml:space="preserve"> - A obtenção de financiamento relativo ao ano de 2014 para projetos, estudos, serviços e obras com recursos da cota-parte FEHIDRO</w:t>
      </w:r>
      <w:r w:rsidR="00BB099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pelo uso dos recursos hídricos na Bacia Hidrográfica da Baixada Santista de 2013 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Constam desta Deliberação 6 (seis) anexos, a saber: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Anexo I: Critérios de elegibilidade dos proponentes;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Anexo II: Cronograma;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Anexo III: Relação de documentos;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Anexo IV: Estrutura das propostas;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Anexo V: Critérios de pontuação das propostas;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Anexo VI: Descrição das ações priorizadas.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CAPITULO I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DEFINIÇÕES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 3º</w:t>
      </w:r>
      <w:r>
        <w:rPr>
          <w:rFonts w:ascii="Arial" w:eastAsia="Arial" w:hAnsi="Arial" w:cs="Arial"/>
          <w:sz w:val="20"/>
        </w:rPr>
        <w:t xml:space="preserve"> - Para efeitos desta Deliberação, consideram-se: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I. </w:t>
      </w:r>
      <w:r>
        <w:rPr>
          <w:rFonts w:ascii="Arial" w:eastAsia="Arial" w:hAnsi="Arial" w:cs="Arial"/>
          <w:b/>
          <w:sz w:val="20"/>
        </w:rPr>
        <w:t>Agente financeiro</w:t>
      </w:r>
      <w:r>
        <w:rPr>
          <w:rFonts w:ascii="Arial" w:eastAsia="Arial" w:hAnsi="Arial" w:cs="Arial"/>
          <w:sz w:val="20"/>
        </w:rPr>
        <w:t>: Representante de instituição financeira designado pelo FEHIDRO para a liberação dos recursos financeiros do projeto, estudo, serviço ou obra.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</w:t>
      </w:r>
      <w:r>
        <w:rPr>
          <w:rFonts w:ascii="Arial" w:eastAsia="Arial" w:hAnsi="Arial" w:cs="Arial"/>
          <w:b/>
          <w:sz w:val="20"/>
        </w:rPr>
        <w:t>Agente técnico</w:t>
      </w:r>
      <w:r>
        <w:rPr>
          <w:rFonts w:ascii="Arial" w:eastAsia="Arial" w:hAnsi="Arial" w:cs="Arial"/>
          <w:sz w:val="20"/>
        </w:rPr>
        <w:t>: Representante designado pelo FEHIDRO responsável pelo acompanhamento técnico do projeto, estudo, serviço ou obra.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III. </w:t>
      </w:r>
      <w:r>
        <w:rPr>
          <w:rFonts w:ascii="Arial" w:eastAsia="Arial" w:hAnsi="Arial" w:cs="Arial"/>
          <w:b/>
          <w:sz w:val="20"/>
        </w:rPr>
        <w:t>Carteira suplementar</w:t>
      </w:r>
      <w:r>
        <w:rPr>
          <w:rFonts w:ascii="Arial" w:eastAsia="Arial" w:hAnsi="Arial" w:cs="Arial"/>
          <w:sz w:val="20"/>
        </w:rPr>
        <w:t>: Propostas classificadas não contempladas devido à insuficiência de recursos destinados pelo FEHIDRO.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IV. </w:t>
      </w:r>
      <w:r>
        <w:rPr>
          <w:rFonts w:ascii="Arial" w:eastAsia="Arial" w:hAnsi="Arial" w:cs="Arial"/>
          <w:b/>
          <w:sz w:val="20"/>
        </w:rPr>
        <w:t>Cota-parte FEHIDRO</w:t>
      </w:r>
      <w:r>
        <w:rPr>
          <w:rFonts w:ascii="Arial" w:eastAsia="Arial" w:hAnsi="Arial" w:cs="Arial"/>
          <w:sz w:val="20"/>
        </w:rPr>
        <w:t>: Corresponde a 3,43% dos recursos de investimentos destinado ao CBH-BS, provenientes da Deliberação COFEHIDRO nº 145 de 30 de maio de 2014.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V. </w:t>
      </w:r>
      <w:r>
        <w:rPr>
          <w:rFonts w:ascii="Arial" w:eastAsia="Arial" w:hAnsi="Arial" w:cs="Arial"/>
          <w:b/>
          <w:sz w:val="20"/>
        </w:rPr>
        <w:t>Contrapartida</w:t>
      </w:r>
      <w:r>
        <w:rPr>
          <w:rFonts w:ascii="Arial" w:eastAsia="Arial" w:hAnsi="Arial" w:cs="Arial"/>
          <w:sz w:val="20"/>
        </w:rPr>
        <w:t>: Recurso do proponente e/ou parceiros para a execução de projeto, estudo, serviços ou obra.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VI. </w:t>
      </w:r>
      <w:r>
        <w:rPr>
          <w:rFonts w:ascii="Arial" w:eastAsia="Arial" w:hAnsi="Arial" w:cs="Arial"/>
          <w:b/>
          <w:sz w:val="20"/>
        </w:rPr>
        <w:t>Estudos e projetos</w:t>
      </w:r>
      <w:r>
        <w:rPr>
          <w:rFonts w:ascii="Arial" w:eastAsia="Arial" w:hAnsi="Arial" w:cs="Arial"/>
          <w:sz w:val="20"/>
        </w:rPr>
        <w:t>: São atividades que tem por objetivo gerar produtos intangíveis como conhecimento, capacitação de pessoal e projeto.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VII. </w:t>
      </w:r>
      <w:r>
        <w:rPr>
          <w:rFonts w:ascii="Arial" w:eastAsia="Arial" w:hAnsi="Arial" w:cs="Arial"/>
          <w:b/>
          <w:sz w:val="20"/>
        </w:rPr>
        <w:t>Financiamento não reembolsável</w:t>
      </w:r>
      <w:r>
        <w:rPr>
          <w:rFonts w:ascii="Arial" w:eastAsia="Arial" w:hAnsi="Arial" w:cs="Arial"/>
          <w:sz w:val="20"/>
        </w:rPr>
        <w:t>: É aquele que não precisa ser devolvido pelo proponente, de acordo com o 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VIII. </w:t>
      </w:r>
      <w:r>
        <w:rPr>
          <w:rFonts w:ascii="Arial" w:eastAsia="Arial" w:hAnsi="Arial" w:cs="Arial"/>
          <w:b/>
          <w:sz w:val="20"/>
        </w:rPr>
        <w:t>Financiamento reembolsável</w:t>
      </w:r>
      <w:r>
        <w:rPr>
          <w:rFonts w:ascii="Arial" w:eastAsia="Arial" w:hAnsi="Arial" w:cs="Arial"/>
          <w:sz w:val="20"/>
        </w:rPr>
        <w:t>: É aquele que deve ser devolvido pelo proponente, de acordo com o 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IX. </w:t>
      </w:r>
      <w:r>
        <w:rPr>
          <w:rFonts w:ascii="Arial" w:eastAsia="Arial" w:hAnsi="Arial" w:cs="Arial"/>
          <w:b/>
          <w:sz w:val="20"/>
        </w:rPr>
        <w:t>Processo de avaliação de propostas</w:t>
      </w:r>
      <w:r>
        <w:rPr>
          <w:rFonts w:ascii="Arial" w:eastAsia="Arial" w:hAnsi="Arial" w:cs="Arial"/>
          <w:sz w:val="20"/>
        </w:rPr>
        <w:t>: Ações e procedimentos técnicos e administrativos realizados pela Secretaria Executiva e CT-PG do CBH-BS, após análise e manifestação das câmaras técnicas específicas.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X. </w:t>
      </w:r>
      <w:r>
        <w:rPr>
          <w:rFonts w:ascii="Arial" w:eastAsia="Arial" w:hAnsi="Arial" w:cs="Arial"/>
          <w:b/>
          <w:sz w:val="20"/>
        </w:rPr>
        <w:t>Programa de Duração Continuada – PDC</w:t>
      </w:r>
      <w:r>
        <w:rPr>
          <w:rFonts w:ascii="Arial" w:eastAsia="Arial" w:hAnsi="Arial" w:cs="Arial"/>
          <w:sz w:val="20"/>
        </w:rPr>
        <w:t>: São programas que englobam os principais temas a serem abordados e financiados para a gestão, recuperação e proteção das bacias hidrográficas do Estado de São Paulo.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XI. </w:t>
      </w:r>
      <w:r>
        <w:rPr>
          <w:rFonts w:ascii="Arial" w:eastAsia="Arial" w:hAnsi="Arial" w:cs="Arial"/>
          <w:b/>
          <w:sz w:val="20"/>
        </w:rPr>
        <w:t>Proponente</w:t>
      </w:r>
      <w:r>
        <w:rPr>
          <w:rFonts w:ascii="Arial" w:eastAsia="Arial" w:hAnsi="Arial" w:cs="Arial"/>
          <w:sz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XII. </w:t>
      </w:r>
      <w:r>
        <w:rPr>
          <w:rFonts w:ascii="Arial" w:eastAsia="Arial" w:hAnsi="Arial" w:cs="Arial"/>
          <w:b/>
          <w:sz w:val="20"/>
        </w:rPr>
        <w:t>Propostas</w:t>
      </w:r>
      <w:r>
        <w:rPr>
          <w:rFonts w:ascii="Arial" w:eastAsia="Arial" w:hAnsi="Arial" w:cs="Arial"/>
          <w:sz w:val="20"/>
        </w:rPr>
        <w:t>: Estudos, projetos, serviços e obras visando o planejamento e a preservação dos recursos hídricos da Bacia Hidrográfica da Baixada Santista.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XIII. </w:t>
      </w:r>
      <w:r>
        <w:rPr>
          <w:rFonts w:ascii="Arial" w:eastAsia="Arial" w:hAnsi="Arial" w:cs="Arial"/>
          <w:b/>
          <w:sz w:val="20"/>
        </w:rPr>
        <w:t>Responsável técnico</w:t>
      </w:r>
      <w:r>
        <w:rPr>
          <w:rFonts w:ascii="Arial" w:eastAsia="Arial" w:hAnsi="Arial" w:cs="Arial"/>
          <w:sz w:val="20"/>
        </w:rPr>
        <w:t>: Profissional habilitado designado pelo proponente para responder pela gestão do projeto, estudo, serviço ou obra.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XIV. </w:t>
      </w:r>
      <w:r>
        <w:rPr>
          <w:rFonts w:ascii="Arial" w:eastAsia="Arial" w:hAnsi="Arial" w:cs="Arial"/>
          <w:b/>
          <w:sz w:val="20"/>
        </w:rPr>
        <w:t>Serviços e obras</w:t>
      </w:r>
      <w:r>
        <w:rPr>
          <w:rFonts w:ascii="Arial" w:eastAsia="Arial" w:hAnsi="Arial" w:cs="Arial"/>
          <w:sz w:val="20"/>
        </w:rPr>
        <w:t>: São atividades com finalidade de produzir produtos tangíveis.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XV. </w:t>
      </w:r>
      <w:r>
        <w:rPr>
          <w:rFonts w:ascii="Arial" w:eastAsia="Arial" w:hAnsi="Arial" w:cs="Arial"/>
          <w:b/>
          <w:sz w:val="20"/>
        </w:rPr>
        <w:t>Tomador</w:t>
      </w:r>
      <w:r>
        <w:rPr>
          <w:rFonts w:ascii="Arial" w:eastAsia="Arial" w:hAnsi="Arial" w:cs="Arial"/>
          <w:sz w:val="20"/>
        </w:rPr>
        <w:t>: Proponente que obteve aprovação pelo CBH-BS de sua proposta.</w:t>
      </w:r>
    </w:p>
    <w:p w:rsidR="00D72B40" w:rsidRDefault="00D72B40" w:rsidP="00D72B40">
      <w:pPr>
        <w:spacing w:after="120"/>
        <w:jc w:val="both"/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II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RESPONSABILIDADES, COMPETÊNCIAS E ATRIBUIÇÕES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4º</w:t>
      </w:r>
      <w:r>
        <w:rPr>
          <w:rFonts w:ascii="Arial" w:eastAsia="Arial" w:hAnsi="Arial" w:cs="Arial"/>
          <w:sz w:val="20"/>
        </w:rPr>
        <w:t xml:space="preserve"> - Compete à Secretaria Executiva: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Dar suporte técnico e administrativo às CT-PG para o cumprimento desta Deliberação;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Receber, protocolar e encaminhar as propostas à CT-PG, nos termos desta Deliberação;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Analisar a documentação administrativa das propostas e comunicar aos proponentes as eventuais correções, atualizações ou complementações necessárias dessas;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Encaminhar à CT-PG para manifestação, os relatórios, pareceres, recursos e outros documentos necessários para o cumprimento desta Deliberação;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Encaminhar para a apreciação do Plenário a minuta de Deliberação das propostas classificadas;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Dar publicidade dos resultados da classificação das propostas.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5º</w:t>
      </w:r>
      <w:r>
        <w:rPr>
          <w:rFonts w:ascii="Arial" w:eastAsia="Arial" w:hAnsi="Arial" w:cs="Arial"/>
          <w:sz w:val="20"/>
        </w:rPr>
        <w:t xml:space="preserve"> - Compete à CT-PG: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Observar e fazer cumprir os termos desta Deliberação;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Coordenar e executar as etapas e procedimentos do processo de análise, pontuação e classificação das propostas;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Encaminhar as propostas às câmaras técnicas específicas e comissões especiais para análise, caso necessário;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Pontuar, classificar, reenquadrar nas ações previstas no Plano de Bacia ou desclassificar as propostas seguindo os critérios definidos no Anexo V e encaminhar à Secretaria Executiva;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Convocar, caso necessário, os proponentes para apresentarem oralmente as propostas, visando esclarecimentos técnicos, sendo facultativa a apresentação pelo proponente.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VI. Analisar e se manifestar em conjunto com a Comissão Especial de Assuntos Jurídicos</w:t>
      </w:r>
      <w:r w:rsidR="00BB099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sobre os recursos administrativos apresentados pelos proponentes, cabendo a defesa oral do recorrente.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6º</w:t>
      </w:r>
      <w:r>
        <w:rPr>
          <w:rFonts w:ascii="Arial" w:eastAsia="Arial" w:hAnsi="Arial" w:cs="Arial"/>
          <w:sz w:val="20"/>
        </w:rPr>
        <w:t xml:space="preserve"> - Compete às câmaras técnicas específicas e comissões especiais analisar e emitir parecer técnico das propostas, a critério da CT-PG.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As câmaras técnicas específicas poderão convocar os proponentes para apresentarem oralmente as propostas, visando esclarecimentos técnicos, sendo facultativa a apresentação pelo proponente.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7º</w:t>
      </w:r>
      <w:r>
        <w:rPr>
          <w:rFonts w:ascii="Arial" w:eastAsia="Arial" w:hAnsi="Arial" w:cs="Arial"/>
          <w:sz w:val="20"/>
        </w:rPr>
        <w:t xml:space="preserve"> - Compete aos proponentes e tomadores: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Encaminhar as propostas nos termos desta Deliberação e da versão atual do Manual de Procedimentos Operacionais (MPO) do FEHIDRO;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II. Acompanhar as informações e os resultados no site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www.sigrh.sp.gov.br</w:t>
        </w:r>
      </w:hyperlink>
      <w:r>
        <w:rPr>
          <w:rFonts w:ascii="Arial" w:eastAsia="Arial" w:hAnsi="Arial" w:cs="Arial"/>
          <w:sz w:val="20"/>
        </w:rPr>
        <w:t>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Submeter as propostas que tiverem sido aprovadas pelo plenário por meio do sistema SINFEHIDRO;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Atender às solicitações e recomendações da Secretaria Executiva e da CT-PG nos prazos definidos nesta Deliberação.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III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DAS PROPOSTAS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8º</w:t>
      </w:r>
      <w:r>
        <w:rPr>
          <w:rFonts w:ascii="Arial" w:eastAsia="Arial" w:hAnsi="Arial" w:cs="Arial"/>
          <w:sz w:val="20"/>
        </w:rPr>
        <w:t xml:space="preserve"> - As propostas deverão ser elaboradas em conformidade com as ações do Plano de Bacia Hidrográfica da Baixada Santista, do período 2008-2011 e com os Anexos III e IV desta Deliberação.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O Anexo VI desta deliberação descreve de forma resumida as ações priorizadas do Plano de Bacia Hidrográfica 2008-2011 para elaboração de propostas.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9º</w:t>
      </w:r>
      <w:r>
        <w:rPr>
          <w:rFonts w:ascii="Arial" w:eastAsia="Arial" w:hAnsi="Arial" w:cs="Arial"/>
          <w:sz w:val="20"/>
        </w:rPr>
        <w:t xml:space="preserve"> - As propostas deverão estar enquadradas nas ações constantes no Anexo VI desta Deliberação, e dentro de um único PDC.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10º</w:t>
      </w:r>
      <w:r>
        <w:rPr>
          <w:rFonts w:ascii="Arial" w:eastAsia="Arial" w:hAnsi="Arial" w:cs="Arial"/>
          <w:sz w:val="20"/>
        </w:rPr>
        <w:t xml:space="preserve"> - Ficam estabelecidos os seguintes valores máximos de financiamento: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Estudos ou projetos: R$ 299.000,00 (duzentos e noventa e nove mil reais);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Serviços ou obras: R$ 1.199.000,00 (um milhão e cento e noventa e nove mil reais).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Os valores estabelecidos nos parágrafos anteriores desse artigo ficam condicionados aos recursos disponíveis por PDC constantes no Artigo 18.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IV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 SUBMISSÃO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11</w:t>
      </w:r>
      <w:r>
        <w:rPr>
          <w:rFonts w:ascii="Arial" w:eastAsia="Arial" w:hAnsi="Arial" w:cs="Arial"/>
          <w:sz w:val="20"/>
        </w:rPr>
        <w:t xml:space="preserve"> - Poderão submeter propostas os proponentes descritos no Anexo I.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Cada proponente poderá submeter até 3 (três) propostas, considerando entre essas aquelas aprovadas pelas deliberações CBH-BS 260/2014 e CBH-BS 264/2014, e as a submeter conforme as deliberações CBH-BS nº 265/2014 e CBH-BS nº 266/2014, que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somadas não poderão ultrapassar o valor máximo de financiamento de R$ 2.400.000,00 (dois milhões e quatrocentos mil reais).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Cada proposta deverá ser apresentada em 3 (três) vias impressas e um CD contendo os arquivos eletrônicos do Termo de Referência, Planilha de Orçamento, Cronograma Físico e Financeiro, Ficha Resumo e Documentação relacionada no Anexo III dentro de um envelope identificado, anexada a duas vias do Ofício de Encaminhamento, com a relação de documentos entregues.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A proposta deverá ser entregue na Secretaria Executiva do CBH-BS, na data definida no Anexo II, ocasião que será protocolado o Ofício de Encaminhamento.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12</w:t>
      </w:r>
      <w:r>
        <w:rPr>
          <w:rFonts w:ascii="Arial" w:eastAsia="Arial" w:hAnsi="Arial" w:cs="Arial"/>
          <w:sz w:val="20"/>
        </w:rPr>
        <w:t xml:space="preserve"> - As propostas que se enquadrarem no parágrafo único do Artigo 17 serão novamente submetidas para a análise descrita nos parágrafos 2º e 3º do Artigo 11.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CAPÍTULO V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DOS PROCEDIMENTOS DE ANÁLISE, PONTUAÇÃO, CLASSIFICAÇÃO E DESCLASSIFICAÇÃO DA PROPOSTA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13</w:t>
      </w:r>
      <w:r>
        <w:rPr>
          <w:rFonts w:ascii="Arial" w:eastAsia="Arial" w:hAnsi="Arial" w:cs="Arial"/>
          <w:sz w:val="20"/>
        </w:rPr>
        <w:t xml:space="preserve"> – A Secretaria Executiva realizará a verificação da documentação entregue no ato da apresentação das propostas, ocasião em que o envelope será lacrado na presença do proponente.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: Anexo ao envelope lacrado, a Secretaria Executiva encaminhará à CT-PG relatório com as seguintes informações do proponente: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Adimplência com o FEHIDRO;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Estudos, Serviços e Obras com financiamento do FEHIDRO, que foram aprovados pelo CBH-BS até 2011, inclusive, mas que ainda não foram iniciados.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14 </w:t>
      </w:r>
      <w:r>
        <w:rPr>
          <w:rFonts w:ascii="Arial" w:eastAsia="Arial" w:hAnsi="Arial" w:cs="Arial"/>
          <w:sz w:val="20"/>
        </w:rPr>
        <w:t>- As propostas encaminhadas pela Secretaria Executiva à CT-PG serão analisadas, primeiramente, para verificação de enquadramento nas ações descritas no Anexo VI.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15 </w:t>
      </w:r>
      <w:r>
        <w:rPr>
          <w:rFonts w:ascii="Arial" w:eastAsia="Arial" w:hAnsi="Arial" w:cs="Arial"/>
          <w:sz w:val="20"/>
        </w:rPr>
        <w:t>- A CT-PG desclassificará propostas nas seguintes situações: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  De proponentes com estudos, serviços e obras com financiamento do FEHIDRO, que foram aprovados pelo CBH-BS até 2011 inclusive, mas que ainda não foram iniciados;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II. De proponentes inadimplentes com o FEHIDRO;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III. De propostas enquadradas em mais de um PDC;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IV. Insuficiência de qualidade da proposta;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V. Orçamento incoerente com a metodologia e/ou resultados a serem obtidos com a proposta;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VI. Cronograma incoerente com a metodologia da proposta;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VII. Pontuação inferior a 50 pontos.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16</w:t>
      </w:r>
      <w:r>
        <w:rPr>
          <w:rFonts w:ascii="Arial" w:eastAsia="Arial" w:hAnsi="Arial" w:cs="Arial"/>
          <w:sz w:val="20"/>
        </w:rPr>
        <w:t xml:space="preserve"> - As propostas aprovadas na análise técnica concorrerão à etapa de pontuação.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A CT-PG efetuará a pontuação das propostas em conformidade com o Anexo V.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As câmaras técnicas específicas pontuarão as propostas nos itens II.a a II.o do Anexo V.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As propostas serão classificadas em ordem decrescente de pontuação dentro do PDC em que se enquadra.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4º</w:t>
      </w:r>
      <w:r>
        <w:rPr>
          <w:rFonts w:ascii="Arial" w:eastAsia="Arial" w:hAnsi="Arial" w:cs="Arial"/>
          <w:sz w:val="20"/>
        </w:rPr>
        <w:t>. Para cada proposta pontuada será emitido um parecer pela CT-PG.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17</w:t>
      </w:r>
      <w:r>
        <w:rPr>
          <w:rFonts w:ascii="Arial" w:eastAsia="Arial" w:hAnsi="Arial" w:cs="Arial"/>
          <w:sz w:val="20"/>
        </w:rPr>
        <w:t xml:space="preserve"> - A Secretaria Executiva analisará os documentos administrativos e os documentos complementares, se couber, das propostas classificadas.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Os proponentes com propostas classificadas na etapa de pontuação e que necessitarem adequações, deverão sanar as irregularidades dentro do prazo estabelecido no Anexo II, sob pena de desclassificação da proposta.</w:t>
      </w:r>
    </w:p>
    <w:p w:rsidR="00D72B40" w:rsidRDefault="00D72B40" w:rsidP="00D72B40">
      <w:p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sz w:val="20"/>
        </w:rPr>
        <w:t xml:space="preserve">ART. 18 </w:t>
      </w:r>
      <w:r>
        <w:rPr>
          <w:rFonts w:ascii="Arial" w:eastAsia="Arial" w:hAnsi="Arial" w:cs="Arial"/>
          <w:sz w:val="20"/>
        </w:rPr>
        <w:t>- A indicação das propostas para financiamento está condicionada à existência de recursos financeiros oriundos do saldo remanescente da cota parte do FEHIDRO/2014,</w:t>
      </w:r>
      <w:r w:rsidR="00BB099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para o CBH-BS, cujo valor é de R$ 1.631.170,72.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19</w:t>
      </w:r>
      <w:r>
        <w:rPr>
          <w:rFonts w:ascii="Arial" w:eastAsia="Arial" w:hAnsi="Arial" w:cs="Arial"/>
          <w:sz w:val="20"/>
        </w:rPr>
        <w:t xml:space="preserve"> - Na inexistência de recursos para atender plenamente uma proposta, a mesma passará a integrar a carteira suplementar.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Na carteira suplementar as propostas estarão ordenadas pela classificação de pontuação.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3º</w:t>
      </w:r>
      <w:r>
        <w:rPr>
          <w:rFonts w:ascii="Arial" w:eastAsia="Arial" w:hAnsi="Arial" w:cs="Arial"/>
          <w:sz w:val="20"/>
        </w:rPr>
        <w:t>. Na situação em que o proponente não possa atender o parágrafo anterior, as próximas propostas serão convocadas, na ordem de classificação de pontos, até a última proposta classificada, devendo as mesmas também atenderem a essa condição.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§ 4º</w:t>
      </w:r>
      <w:r>
        <w:rPr>
          <w:rFonts w:ascii="Arial" w:eastAsia="Arial" w:hAnsi="Arial" w:cs="Arial"/>
          <w:sz w:val="20"/>
        </w:rPr>
        <w:t>. Na impossibilidade de se aplicar o parágrafo 3º deste artigo, será elaborada uma Deliberação para a utilização do saldo remanescente.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5º</w:t>
      </w:r>
      <w:r>
        <w:rPr>
          <w:rFonts w:ascii="Arial" w:eastAsia="Arial" w:hAnsi="Arial" w:cs="Arial"/>
          <w:sz w:val="20"/>
        </w:rPr>
        <w:t>. As questões não contempladas nesta Deliberação serão submetidas à Plenária.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VI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DOS RECURSOS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20</w:t>
      </w:r>
      <w:r>
        <w:rPr>
          <w:rFonts w:ascii="Arial" w:eastAsia="Arial" w:hAnsi="Arial" w:cs="Arial"/>
          <w:sz w:val="20"/>
        </w:rPr>
        <w:t xml:space="preserve"> - O proponente poderá apresentar recurso sobre o resultado da análise da proposta, respeitando os prazos estabelecidos no Anexo II.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1º</w:t>
      </w:r>
      <w:r>
        <w:rPr>
          <w:rFonts w:ascii="Arial" w:eastAsia="Arial" w:hAnsi="Arial" w:cs="Arial"/>
          <w:sz w:val="20"/>
        </w:rPr>
        <w:t>. O recurso deverá ser apresentado através de ofício encaminhado à Secretaria Executiva.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2º</w:t>
      </w:r>
      <w:r>
        <w:rPr>
          <w:rFonts w:ascii="Arial" w:eastAsia="Arial" w:hAnsi="Arial" w:cs="Arial"/>
          <w:sz w:val="20"/>
        </w:rPr>
        <w:t>. A Secretaria Executiva encaminhará os recursos à CT-PG.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CAPÍTULO VII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 APROVAÇÃO E DA DIVULGAÇÃO DOS RESULTADOS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21</w:t>
      </w:r>
      <w:r>
        <w:rPr>
          <w:rFonts w:ascii="Arial" w:eastAsia="Arial" w:hAnsi="Arial" w:cs="Arial"/>
          <w:sz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22</w:t>
      </w:r>
      <w:r>
        <w:rPr>
          <w:rFonts w:ascii="Arial" w:eastAsia="Arial" w:hAnsi="Arial" w:cs="Arial"/>
          <w:sz w:val="20"/>
        </w:rPr>
        <w:t xml:space="preserve"> - Os resultados da classificação e do julgamento dos recursos serão divulgados no website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www.sigrh.sp.gov.br</w:t>
        </w:r>
      </w:hyperlink>
      <w:r>
        <w:rPr>
          <w:rFonts w:ascii="Arial" w:eastAsia="Arial" w:hAnsi="Arial" w:cs="Arial"/>
          <w:sz w:val="20"/>
        </w:rPr>
        <w:t>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20"/>
        </w:rPr>
      </w:pPr>
    </w:p>
    <w:p w:rsidR="0073144B" w:rsidRPr="00C542B0" w:rsidRDefault="0073144B" w:rsidP="0073144B">
      <w:pPr>
        <w:jc w:val="both"/>
        <w:rPr>
          <w:rFonts w:ascii="Arial" w:eastAsia="Lucida Sans Unicode" w:hAnsi="Arial" w:cs="Arial"/>
          <w:b/>
          <w:sz w:val="18"/>
          <w:szCs w:val="22"/>
        </w:rPr>
      </w:pPr>
      <w:r w:rsidRPr="00C542B0">
        <w:rPr>
          <w:rFonts w:ascii="Arial" w:eastAsia="Lucida Sans Unicode" w:hAnsi="Arial" w:cs="Arial"/>
          <w:b/>
          <w:sz w:val="18"/>
          <w:szCs w:val="22"/>
        </w:rPr>
        <w:t>Arq. Urb.</w:t>
      </w:r>
      <w:r>
        <w:rPr>
          <w:rFonts w:ascii="Arial" w:eastAsia="Lucida Sans Unicode" w:hAnsi="Arial" w:cs="Arial"/>
          <w:b/>
          <w:sz w:val="18"/>
          <w:szCs w:val="22"/>
        </w:rPr>
        <w:t xml:space="preserve"> JOSÉ MAURO DEDEMO ORLANDINI            </w:t>
      </w:r>
      <w:proofErr w:type="spellStart"/>
      <w:r>
        <w:rPr>
          <w:rFonts w:ascii="Arial" w:eastAsia="Lucida Sans Unicode" w:hAnsi="Arial" w:cs="Arial"/>
          <w:b/>
          <w:sz w:val="18"/>
          <w:szCs w:val="22"/>
        </w:rPr>
        <w:t>Engº</w:t>
      </w:r>
      <w:proofErr w:type="spellEnd"/>
      <w:r>
        <w:rPr>
          <w:rFonts w:ascii="Arial" w:eastAsia="Lucida Sans Unicode" w:hAnsi="Arial" w:cs="Arial"/>
          <w:b/>
          <w:sz w:val="18"/>
          <w:szCs w:val="22"/>
        </w:rPr>
        <w:t xml:space="preserve">  CELSO GARAGNANI            </w:t>
      </w:r>
      <w:r w:rsidRPr="00C542B0">
        <w:rPr>
          <w:rFonts w:ascii="Arial" w:eastAsia="Lucida Sans Unicode" w:hAnsi="Arial" w:cs="Arial"/>
          <w:b/>
          <w:sz w:val="18"/>
          <w:szCs w:val="22"/>
        </w:rPr>
        <w:t>MARIA WANDA IORIO</w:t>
      </w:r>
    </w:p>
    <w:p w:rsidR="0073144B" w:rsidRPr="00C542B0" w:rsidRDefault="0073144B" w:rsidP="0073144B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          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      Presidente                    </w:t>
      </w:r>
      <w:r>
        <w:rPr>
          <w:rFonts w:ascii="Arial" w:eastAsia="Lucida Sans Unicode" w:hAnsi="Arial" w:cs="Arial"/>
          <w:sz w:val="22"/>
          <w:szCs w:val="22"/>
        </w:rPr>
        <w:t xml:space="preserve">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   </w:t>
      </w:r>
      <w:r>
        <w:rPr>
          <w:rFonts w:ascii="Arial" w:eastAsia="Lucida Sans Unicode" w:hAnsi="Arial" w:cs="Arial"/>
          <w:sz w:val="22"/>
          <w:szCs w:val="22"/>
        </w:rPr>
        <w:t xml:space="preserve">               Vice-Presidente              </w:t>
      </w:r>
      <w:r w:rsidRPr="00C542B0">
        <w:rPr>
          <w:rFonts w:ascii="Arial" w:eastAsia="Lucida Sans Unicode" w:hAnsi="Arial" w:cs="Arial"/>
          <w:sz w:val="22"/>
          <w:szCs w:val="22"/>
        </w:rPr>
        <w:t xml:space="preserve">Secretária Executiva                         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tabs>
          <w:tab w:val="left" w:pos="2410"/>
        </w:tabs>
        <w:spacing w:after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ab/>
        <w:t>ANEXO I – CRITÉRIOS DE ELEGIBILIDADE DOS PROPONENTES</w:t>
      </w:r>
    </w:p>
    <w:p w:rsidR="00D72B40" w:rsidRDefault="00D72B40" w:rsidP="00D72B40">
      <w:pPr>
        <w:tabs>
          <w:tab w:val="left" w:pos="2835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Ficam habilitados à obtenção de recursos do FEHIDRO para o desenvolvimento de projetos:</w:t>
      </w:r>
    </w:p>
    <w:p w:rsidR="00D72B40" w:rsidRDefault="00BB0996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 w:rsidRPr="00BB0996">
        <w:rPr>
          <w:rFonts w:ascii="Arial" w:eastAsia="Arial" w:hAnsi="Arial" w:cs="Arial"/>
          <w:b/>
          <w:sz w:val="20"/>
          <w:shd w:val="clear" w:color="auto" w:fill="FFFFFF"/>
        </w:rPr>
        <w:t>I</w:t>
      </w:r>
      <w:r>
        <w:rPr>
          <w:rFonts w:ascii="Arial" w:eastAsia="Arial" w:hAnsi="Arial" w:cs="Arial"/>
          <w:sz w:val="20"/>
          <w:shd w:val="clear" w:color="auto" w:fill="FFFFFF"/>
        </w:rPr>
        <w:t xml:space="preserve">. </w:t>
      </w:r>
      <w:r w:rsidR="00D72B40" w:rsidRPr="00BB0996">
        <w:rPr>
          <w:rFonts w:ascii="Arial" w:eastAsia="Arial" w:hAnsi="Arial" w:cs="Arial"/>
          <w:sz w:val="20"/>
          <w:shd w:val="clear" w:color="auto" w:fill="FFFFFF"/>
        </w:rPr>
        <w:t>Pessoas</w:t>
      </w:r>
      <w:r w:rsidR="00D72B40">
        <w:rPr>
          <w:rFonts w:ascii="Arial" w:eastAsia="Arial" w:hAnsi="Arial" w:cs="Arial"/>
          <w:sz w:val="20"/>
          <w:shd w:val="clear" w:color="auto" w:fill="FFFFFF"/>
        </w:rPr>
        <w:t xml:space="preserve"> jurídicas de direito público, da administração direta e indireta do Estado e dos Municípios do Estado de São Paulo;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II</w:t>
      </w:r>
      <w:r>
        <w:rPr>
          <w:rFonts w:ascii="Arial" w:eastAsia="Arial" w:hAnsi="Arial" w:cs="Arial"/>
          <w:sz w:val="20"/>
          <w:shd w:val="clear" w:color="auto" w:fill="FFFFFF"/>
        </w:rPr>
        <w:t>. Concessionárias e permissionárias de serviços públicos, com atuação nos campos do saneamento, meio ambiente ou aproveitamento múltiplo de recursos hídricos;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III</w:t>
      </w:r>
      <w:r>
        <w:rPr>
          <w:rFonts w:ascii="Arial" w:eastAsia="Arial" w:hAnsi="Arial" w:cs="Arial"/>
          <w:sz w:val="20"/>
          <w:shd w:val="clear" w:color="auto" w:fill="FFFFFF"/>
        </w:rPr>
        <w:t>. Consórcios intermunicipais regularmente constituídos;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IV</w:t>
      </w:r>
      <w:r>
        <w:rPr>
          <w:rFonts w:ascii="Arial" w:eastAsia="Arial" w:hAnsi="Arial" w:cs="Arial"/>
          <w:sz w:val="20"/>
          <w:shd w:val="clear" w:color="auto" w:fill="FFFFFF"/>
        </w:rPr>
        <w:t>. Entidades privadas sem finalidades lucrativas, usuárias ou não de recursos hídricos, e que preencham os seguintes requisitos:</w:t>
      </w:r>
    </w:p>
    <w:p w:rsidR="00D72B40" w:rsidRDefault="00D72B40" w:rsidP="00D72B40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IV1</w:t>
      </w:r>
      <w:r>
        <w:rPr>
          <w:rFonts w:ascii="Arial" w:eastAsia="Arial" w:hAnsi="Arial" w:cs="Arial"/>
          <w:sz w:val="20"/>
          <w:shd w:val="clear" w:color="auto" w:fill="FFFFFF"/>
        </w:rPr>
        <w:t>. Constituição definitiva há pelo menos 4 (quatro) anos, nos termos da legislação pertinente;</w:t>
      </w:r>
    </w:p>
    <w:p w:rsidR="00D72B40" w:rsidRDefault="00D72B40" w:rsidP="00D72B40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IV2</w:t>
      </w:r>
      <w:r>
        <w:rPr>
          <w:rFonts w:ascii="Arial" w:eastAsia="Arial" w:hAnsi="Arial" w:cs="Arial"/>
          <w:sz w:val="20"/>
          <w:shd w:val="clear" w:color="auto" w:fill="FFFFFF"/>
        </w:rPr>
        <w:t>. Deter, dentre suas finalidades principais, a proteção ao meio ambiente ou atuação na área de recursos hídricos;</w:t>
      </w:r>
    </w:p>
    <w:p w:rsidR="00D72B40" w:rsidRDefault="00D72B40" w:rsidP="00D72B40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ab/>
        <w:t>IV3</w:t>
      </w:r>
      <w:r>
        <w:rPr>
          <w:rFonts w:ascii="Arial" w:eastAsia="Arial" w:hAnsi="Arial" w:cs="Arial"/>
          <w:sz w:val="20"/>
          <w:shd w:val="clear" w:color="auto" w:fill="FFFFFF"/>
        </w:rPr>
        <w:t>. Atuação comprovada no âmbito do Estado de São Paulo ou da Bacia Hidrográfica da Baixada Santista.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V</w:t>
      </w:r>
      <w:r>
        <w:rPr>
          <w:rFonts w:ascii="Arial" w:eastAsia="Arial" w:hAnsi="Arial" w:cs="Arial"/>
          <w:sz w:val="20"/>
        </w:rPr>
        <w:t>. Pessoas jurídicas de direito privado, usuárias de recursos hídricos.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Observações: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>. Podem habilitar-se à obtenção de financiamento com recursos exclusivamente reembolsáveis:</w:t>
      </w:r>
    </w:p>
    <w:p w:rsidR="00D72B40" w:rsidRDefault="00D72B40" w:rsidP="00D72B40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a1</w:t>
      </w:r>
      <w:r>
        <w:rPr>
          <w:rFonts w:ascii="Arial" w:eastAsia="Arial" w:hAnsi="Arial" w:cs="Arial"/>
          <w:sz w:val="20"/>
        </w:rPr>
        <w:t>. Empresas de direito privado com finalidade lucrativa usuárias de recursos hídricos;</w:t>
      </w:r>
    </w:p>
    <w:p w:rsidR="00D72B40" w:rsidRDefault="00D72B40" w:rsidP="00D72B40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a2</w:t>
      </w:r>
      <w:r>
        <w:rPr>
          <w:rFonts w:ascii="Arial" w:eastAsia="Arial" w:hAnsi="Arial" w:cs="Arial"/>
          <w:sz w:val="20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D72B40" w:rsidRDefault="00D72B40" w:rsidP="00D72B40">
      <w:pPr>
        <w:tabs>
          <w:tab w:val="left" w:pos="851"/>
        </w:tabs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b</w:t>
      </w:r>
      <w:r>
        <w:rPr>
          <w:rFonts w:ascii="Arial" w:eastAsia="Arial" w:hAnsi="Arial" w:cs="Arial"/>
          <w:sz w:val="20"/>
        </w:rPr>
        <w:t>. Podem habilitar-se à obtenção de financiamento com recursos não reembolsáveis:</w:t>
      </w:r>
    </w:p>
    <w:p w:rsidR="00D72B40" w:rsidRDefault="00D72B40" w:rsidP="00D72B40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b1</w:t>
      </w:r>
      <w:r>
        <w:rPr>
          <w:rFonts w:ascii="Arial" w:eastAsia="Arial" w:hAnsi="Arial" w:cs="Arial"/>
          <w:sz w:val="20"/>
        </w:rPr>
        <w:t>. entidades de direito público da administração direta e indireta do Estado ou dos Municípios;</w:t>
      </w:r>
    </w:p>
    <w:p w:rsidR="00D72B40" w:rsidRDefault="00D72B40" w:rsidP="00D72B40">
      <w:pPr>
        <w:tabs>
          <w:tab w:val="left" w:pos="851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b2</w:t>
      </w:r>
      <w:r>
        <w:rPr>
          <w:rFonts w:ascii="Arial" w:eastAsia="Arial" w:hAnsi="Arial" w:cs="Arial"/>
          <w:sz w:val="20"/>
        </w:rPr>
        <w:t xml:space="preserve">. entidades privadas sem finalidades lucrativas.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</w:t>
      </w:r>
      <w:r>
        <w:rPr>
          <w:rFonts w:ascii="Arial" w:eastAsia="Arial" w:hAnsi="Arial" w:cs="Arial"/>
          <w:sz w:val="20"/>
          <w:shd w:val="clear" w:color="auto" w:fill="FFFFFF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D72B40" w:rsidRDefault="00D72B40" w:rsidP="00D72B40">
      <w:pPr>
        <w:tabs>
          <w:tab w:val="left" w:pos="1987"/>
        </w:tabs>
        <w:spacing w:after="120"/>
        <w:ind w:left="284" w:hanging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b/>
          <w:sz w:val="20"/>
          <w:shd w:val="clear" w:color="auto" w:fill="FFFFFF"/>
        </w:rPr>
        <w:t>c1</w:t>
      </w:r>
      <w:r>
        <w:rPr>
          <w:rFonts w:ascii="Arial" w:eastAsia="Arial" w:hAnsi="Arial" w:cs="Arial"/>
          <w:sz w:val="20"/>
          <w:shd w:val="clear" w:color="auto" w:fill="FFFFFF"/>
        </w:rPr>
        <w:t>. Cópia do Estatuto Social vigente, registrado em cartório, que comprove o tempo de existência e as atribuições da entidade;</w:t>
      </w:r>
    </w:p>
    <w:p w:rsidR="00D72B40" w:rsidRDefault="00D72B40" w:rsidP="00D72B40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c2</w:t>
      </w:r>
      <w:r>
        <w:rPr>
          <w:rFonts w:ascii="Arial" w:eastAsia="Arial" w:hAnsi="Arial" w:cs="Arial"/>
          <w:sz w:val="20"/>
          <w:shd w:val="clear" w:color="auto" w:fill="FFFFFF"/>
        </w:rPr>
        <w:t>.  Relatório de suas atividades anteriores, conforme modelo e conteúdos estabelecidos pelo Anexo XI do MPO, devidamente endossado e assinado pelo responsável legal;</w:t>
      </w:r>
    </w:p>
    <w:p w:rsidR="00D72B40" w:rsidRDefault="00D72B40" w:rsidP="00D72B40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c3</w:t>
      </w:r>
      <w:r>
        <w:rPr>
          <w:rFonts w:ascii="Arial" w:eastAsia="Arial" w:hAnsi="Arial" w:cs="Arial"/>
          <w:sz w:val="20"/>
          <w:shd w:val="clear" w:color="auto" w:fill="FFFFFF"/>
        </w:rPr>
        <w:t>. Atestados técnicos, caso a atividade seja resultado de serviços prestados a outras entidades públicas ou privadas, devidamente endossados e assinados pelo responsável legal;</w:t>
      </w:r>
    </w:p>
    <w:p w:rsidR="00D72B40" w:rsidRDefault="00D72B40" w:rsidP="00D72B40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c4</w:t>
      </w:r>
      <w:r>
        <w:rPr>
          <w:rFonts w:ascii="Arial" w:eastAsia="Arial" w:hAnsi="Arial" w:cs="Arial"/>
          <w:sz w:val="20"/>
          <w:shd w:val="clear" w:color="auto" w:fill="FFFFFF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legal;</w:t>
      </w:r>
    </w:p>
    <w:p w:rsidR="00D72B40" w:rsidRDefault="00D72B40" w:rsidP="00D72B40">
      <w:pPr>
        <w:spacing w:after="120"/>
        <w:ind w:left="284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c5</w:t>
      </w:r>
      <w:r>
        <w:rPr>
          <w:rFonts w:ascii="Arial" w:eastAsia="Arial" w:hAnsi="Arial" w:cs="Arial"/>
          <w:sz w:val="20"/>
          <w:shd w:val="clear" w:color="auto" w:fill="FFFFFF"/>
        </w:rPr>
        <w:t>. Estão dispensadas da apresentação dos documentos relacionados nos itens c2, c3 e c4 as entidades que já tenham executado anteriormente um contrato FEHIDRO, mediante a apresentação do número do contrato anterior.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d</w:t>
      </w:r>
      <w:r>
        <w:rPr>
          <w:rFonts w:ascii="Arial" w:eastAsia="Arial" w:hAnsi="Arial" w:cs="Arial"/>
          <w:sz w:val="20"/>
          <w:shd w:val="clear" w:color="auto" w:fill="FFFFFF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b/>
          <w:sz w:val="20"/>
          <w:shd w:val="clear" w:color="auto" w:fill="FFFFFF"/>
        </w:rPr>
        <w:t>e</w:t>
      </w:r>
      <w:r>
        <w:rPr>
          <w:rFonts w:ascii="Arial" w:eastAsia="Arial" w:hAnsi="Arial" w:cs="Arial"/>
          <w:sz w:val="20"/>
          <w:shd w:val="clear" w:color="auto" w:fill="FFFFFF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CT-PG. Caso não seja apresentada, não poderá ser concedido o financiamento.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 – CRONOGRAMA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 prazo para submissão de propostas será definido através de comunicado da Presidência. Ao final do prazo de submissão das propostas, ficam definidos os prazos máximos:</w:t>
      </w:r>
    </w:p>
    <w:p w:rsidR="00D72B40" w:rsidRDefault="00D72B40" w:rsidP="00D72B40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Triagem das propostas e análise da documentação: 2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Análise técnica e pontuação: 8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Elaboração dos pareceres da análise técnica e pontuação: 2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Divulgação das propostas classificadas, classificadas com pendências documentais e desclassificadas: 1 dia útil;</w:t>
      </w:r>
    </w:p>
    <w:p w:rsidR="00D72B40" w:rsidRDefault="00D72B40" w:rsidP="00D72B40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Solicitação de complementação da documentação: 3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738" w:hanging="4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Reapresentação das propostas classificadas com pendências documentais e recebimento de recursos contra os resultados divulgados: 3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Julgamento dos recursos eventualmente apresentados: 3 dias úteis;</w:t>
      </w:r>
    </w:p>
    <w:p w:rsidR="00D72B40" w:rsidRDefault="00D72B40" w:rsidP="00D72B40">
      <w:pPr>
        <w:numPr>
          <w:ilvl w:val="0"/>
          <w:numId w:val="1"/>
        </w:numPr>
        <w:spacing w:after="120"/>
        <w:ind w:left="1248" w:hanging="96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Elaboração dos pareceres finais das propostas classificadas: 2 dias úteis</w:t>
      </w:r>
    </w:p>
    <w:p w:rsidR="00D72B40" w:rsidRDefault="00D72B40" w:rsidP="00D72B40">
      <w:pPr>
        <w:numPr>
          <w:ilvl w:val="0"/>
          <w:numId w:val="1"/>
        </w:numPr>
        <w:spacing w:after="120"/>
        <w:ind w:left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Envio eletrônico pelo SINFEHIDRO das propostas aprovadas: 5 dias úteis após aprovação em Plenária.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Observações</w:t>
      </w:r>
      <w:r>
        <w:rPr>
          <w:rFonts w:ascii="Arial" w:eastAsia="Arial" w:hAnsi="Arial" w:cs="Arial"/>
          <w:sz w:val="20"/>
        </w:rPr>
        <w:t>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sz w:val="20"/>
        </w:rPr>
        <w:t>. A Secretaria Executiva do CBH-BS situa-se na unidade do DAEE (Departamento de Águas e Energia Elétrica), na Rua Urcezino Ferreira, 294, Bairro Baixio, Itanhaém/SP - CEP 11740-000.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b</w:t>
      </w:r>
      <w:r>
        <w:rPr>
          <w:rFonts w:ascii="Arial" w:eastAsia="Arial" w:hAnsi="Arial" w:cs="Arial"/>
          <w:sz w:val="20"/>
        </w:rPr>
        <w:t>. O horário de atendimento na Secretaria Executiva é das 8:30 às 11:30 e das 13:00 às 16:00.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</w:t>
      </w:r>
      <w:r>
        <w:rPr>
          <w:rFonts w:ascii="Arial" w:eastAsia="Arial" w:hAnsi="Arial" w:cs="Arial"/>
          <w:sz w:val="20"/>
        </w:rPr>
        <w:t xml:space="preserve">. As informações podem ser esclarecidas por e-mail </w:t>
      </w:r>
      <w:hyperlink r:id="rId11">
        <w:r>
          <w:rPr>
            <w:rFonts w:ascii="Arial" w:eastAsia="Arial" w:hAnsi="Arial" w:cs="Arial"/>
            <w:color w:val="0000FF"/>
            <w:sz w:val="20"/>
            <w:u w:val="single"/>
          </w:rPr>
          <w:t>cbhbs@uol.com.br</w:t>
        </w:r>
      </w:hyperlink>
      <w:r>
        <w:rPr>
          <w:rFonts w:ascii="Arial" w:eastAsia="Arial" w:hAnsi="Arial" w:cs="Arial"/>
          <w:sz w:val="20"/>
        </w:rPr>
        <w:t xml:space="preserve"> ou telefone (13) 3422-1265.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D72B40" w:rsidRDefault="00D72B40" w:rsidP="00D72B40">
      <w:pPr>
        <w:keepNext/>
        <w:keepLines/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MUNICÍPIOS E ENTIDADES MUNICIPAIS</w:t>
      </w:r>
    </w:p>
    <w:p w:rsidR="00D72B40" w:rsidRDefault="00D72B40" w:rsidP="00D72B40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Atestado de Regularidade Florestal ARF/DPRN (CBRN-CTR3);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Licença de perfuração emitida pelo DAEE, para empreendimento de construção de poços profundos;</w:t>
      </w:r>
    </w:p>
    <w:p w:rsidR="00D72B40" w:rsidRDefault="00D72B40" w:rsidP="00D72B40">
      <w:pPr>
        <w:numPr>
          <w:ilvl w:val="0"/>
          <w:numId w:val="2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D72B40" w:rsidRDefault="00D72B40" w:rsidP="00D72B40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D72B40" w:rsidRDefault="00D72B40" w:rsidP="00D72B40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Atestado da Câmara Municipal de Efetivo Exercício de Mandato do Prefeito;</w:t>
      </w:r>
    </w:p>
    <w:p w:rsidR="00D72B40" w:rsidRDefault="00D72B40" w:rsidP="00D72B40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D72B40" w:rsidRDefault="00D72B40" w:rsidP="00D72B40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D72B40" w:rsidRDefault="00D72B40" w:rsidP="00D72B40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D72B40" w:rsidRDefault="00D72B40" w:rsidP="00D72B40">
      <w:pPr>
        <w:numPr>
          <w:ilvl w:val="0"/>
          <w:numId w:val="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D72B40" w:rsidRDefault="00D72B40" w:rsidP="00D72B40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D72B40" w:rsidRDefault="00D72B40" w:rsidP="00D72B40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D72B40" w:rsidRDefault="00D72B40" w:rsidP="00D72B40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D72B40" w:rsidRDefault="00D72B40" w:rsidP="00D72B40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="00BB099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Anexo IX do MPO;</w:t>
      </w:r>
    </w:p>
    <w:p w:rsidR="00D72B40" w:rsidRDefault="00D72B40" w:rsidP="00D72B40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Certidão Negativa (ou Positiva com Efeito de Negativa) do INSS;</w:t>
      </w:r>
    </w:p>
    <w:p w:rsidR="00D72B40" w:rsidRDefault="00D72B40" w:rsidP="00D72B40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Certificado de Regularidade Fiscal junto ao FGTS;</w:t>
      </w:r>
    </w:p>
    <w:p w:rsidR="00D72B40" w:rsidRDefault="00D72B40" w:rsidP="00D72B40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Certidão Negativa (ou Positiva com Efeito de Negativa) de Tributos e Contribuições Federais administrados pela Secretaria da Receita Federal;</w:t>
      </w:r>
    </w:p>
    <w:p w:rsidR="00D72B40" w:rsidRDefault="00D72B40" w:rsidP="00D72B40">
      <w:pPr>
        <w:numPr>
          <w:ilvl w:val="0"/>
          <w:numId w:val="4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D72B40" w:rsidRDefault="00D72B40" w:rsidP="00D72B40">
      <w:pPr>
        <w:numPr>
          <w:ilvl w:val="0"/>
          <w:numId w:val="4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do Município para celebrar Convênios – CRMC;</w:t>
      </w:r>
    </w:p>
    <w:p w:rsidR="00D72B40" w:rsidRDefault="00D72B40" w:rsidP="00D72B40">
      <w:pPr>
        <w:numPr>
          <w:ilvl w:val="0"/>
          <w:numId w:val="4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D72B40" w:rsidRDefault="00D72B40" w:rsidP="00D72B40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D72B40" w:rsidRDefault="00D72B40" w:rsidP="00D72B40">
      <w:pPr>
        <w:keepNext/>
        <w:keepLines/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III. Documentos complementares para Autarquias, Empresas Públicas, Sociedades de Economia Mista, Fundações de Direito Público instituídas por lei, etc.</w:t>
      </w:r>
    </w:p>
    <w:p w:rsidR="00D72B40" w:rsidRDefault="00D72B40" w:rsidP="00D72B40">
      <w:pPr>
        <w:numPr>
          <w:ilvl w:val="0"/>
          <w:numId w:val="5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lei de criação;</w:t>
      </w:r>
    </w:p>
    <w:p w:rsidR="00D72B40" w:rsidRDefault="00D72B40" w:rsidP="00D72B40">
      <w:pPr>
        <w:numPr>
          <w:ilvl w:val="0"/>
          <w:numId w:val="5"/>
        </w:numPr>
        <w:tabs>
          <w:tab w:val="left" w:pos="623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Estatuto;</w:t>
      </w:r>
    </w:p>
    <w:p w:rsidR="00D72B40" w:rsidRDefault="00D72B40" w:rsidP="00D72B40">
      <w:pPr>
        <w:numPr>
          <w:ilvl w:val="0"/>
          <w:numId w:val="5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Ato de Nomeação ou da Ata de Eleição do(s) responsável (is) legal (is).</w:t>
      </w:r>
    </w:p>
    <w:p w:rsidR="00D72B40" w:rsidRDefault="00D72B40" w:rsidP="00D72B40">
      <w:pPr>
        <w:tabs>
          <w:tab w:val="left" w:pos="628"/>
        </w:tabs>
        <w:suppressAutoHyphens w:val="0"/>
        <w:spacing w:after="120"/>
        <w:ind w:left="284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D72B40" w:rsidRDefault="00D72B40" w:rsidP="00D72B40">
      <w:pPr>
        <w:keepNext/>
        <w:keepLines/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ÓRGÃOS E ENTIDADES ESTADUAIS</w:t>
      </w:r>
    </w:p>
    <w:p w:rsidR="00D72B40" w:rsidRDefault="00D72B40" w:rsidP="00D72B40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D72B40" w:rsidRDefault="00D72B40" w:rsidP="00D72B40">
      <w:pPr>
        <w:numPr>
          <w:ilvl w:val="0"/>
          <w:numId w:val="6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D72B40" w:rsidRDefault="00D72B40" w:rsidP="00D72B40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D72B40" w:rsidRDefault="00D72B40" w:rsidP="00D72B40">
      <w:pPr>
        <w:numPr>
          <w:ilvl w:val="0"/>
          <w:numId w:val="7"/>
        </w:numPr>
        <w:tabs>
          <w:tab w:val="left" w:pos="0"/>
          <w:tab w:val="left" w:pos="284"/>
          <w:tab w:val="left" w:pos="628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D72B40" w:rsidRDefault="00D72B40" w:rsidP="00D72B40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D72B40" w:rsidRDefault="00D72B40" w:rsidP="00D72B40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D72B40" w:rsidRDefault="00D72B40" w:rsidP="00D72B40">
      <w:pPr>
        <w:numPr>
          <w:ilvl w:val="0"/>
          <w:numId w:val="7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D72B40" w:rsidRDefault="00D72B40" w:rsidP="00D72B40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D72B40" w:rsidRDefault="00D72B40" w:rsidP="00D72B40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D72B40" w:rsidRDefault="00D72B40" w:rsidP="00D72B40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Federal.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D72B40" w:rsidRDefault="00D72B40" w:rsidP="00D72B40">
      <w:pPr>
        <w:numPr>
          <w:ilvl w:val="0"/>
          <w:numId w:val="8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D72B40" w:rsidRDefault="00D72B40" w:rsidP="00D72B40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D72B40" w:rsidRDefault="00D72B40" w:rsidP="00D72B40">
      <w:pPr>
        <w:keepNext/>
        <w:keepLines/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III. Documentos complementares para Autarquias, Empresas Públicas, Sociedades de Economia Mista, Fundações de Direito Público instituídas por lei, etc.</w:t>
      </w:r>
    </w:p>
    <w:p w:rsidR="00D72B40" w:rsidRDefault="00D72B40" w:rsidP="00D72B40">
      <w:pPr>
        <w:numPr>
          <w:ilvl w:val="0"/>
          <w:numId w:val="9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da lei de criação;</w:t>
      </w:r>
    </w:p>
    <w:p w:rsidR="00D72B40" w:rsidRDefault="00D72B40" w:rsidP="00D72B40">
      <w:pPr>
        <w:numPr>
          <w:ilvl w:val="0"/>
          <w:numId w:val="9"/>
        </w:numPr>
        <w:tabs>
          <w:tab w:val="left" w:pos="623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Estatuto;</w:t>
      </w:r>
    </w:p>
    <w:p w:rsidR="00D72B40" w:rsidRDefault="00D72B40" w:rsidP="00D72B40">
      <w:pPr>
        <w:numPr>
          <w:ilvl w:val="0"/>
          <w:numId w:val="9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Ato de Nomeação ou da Ata de Eleição do(s) responsável (is) legal (is).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D72B40" w:rsidRDefault="00D72B40" w:rsidP="00D72B40">
      <w:pPr>
        <w:keepNext/>
        <w:keepLines/>
        <w:spacing w:after="120"/>
        <w:ind w:left="23" w:right="23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ENTIDADES DA SOCIEDADE CIVIL SEM FINALIDADES LUCRATIVAS</w:t>
      </w:r>
    </w:p>
    <w:p w:rsidR="00D72B40" w:rsidRDefault="00D72B40" w:rsidP="00D72B40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D72B40" w:rsidRDefault="00D72B40" w:rsidP="00D72B40">
      <w:pPr>
        <w:numPr>
          <w:ilvl w:val="0"/>
          <w:numId w:val="10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D72B40" w:rsidRDefault="00D72B40" w:rsidP="00D72B40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D72B40" w:rsidRDefault="00D72B40" w:rsidP="00D72B40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D72B40" w:rsidRDefault="00D72B40" w:rsidP="00D72B40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D72B40" w:rsidRDefault="00D72B40" w:rsidP="00D72B40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D72B40" w:rsidRDefault="00D72B40" w:rsidP="00D72B40">
      <w:pPr>
        <w:numPr>
          <w:ilvl w:val="0"/>
          <w:numId w:val="11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D72B40" w:rsidRDefault="00D72B40" w:rsidP="00D72B40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D72B40" w:rsidRDefault="00D72B40" w:rsidP="00D72B40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D72B40" w:rsidRDefault="00D72B40" w:rsidP="00D72B40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Federal;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de Débitos Trabalhistas - CNDT;</w:t>
      </w:r>
    </w:p>
    <w:p w:rsidR="00D72B40" w:rsidRDefault="00D72B40" w:rsidP="00D72B40">
      <w:pPr>
        <w:numPr>
          <w:ilvl w:val="0"/>
          <w:numId w:val="12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Cadastral de Entidades - CRCE.</w:t>
      </w:r>
    </w:p>
    <w:p w:rsidR="00D72B40" w:rsidRDefault="00D72B40" w:rsidP="00D72B40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autenticada do Estatuto registrado em Cartório;</w:t>
      </w:r>
    </w:p>
    <w:p w:rsidR="00D72B40" w:rsidRDefault="00D72B40" w:rsidP="00D72B40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autenticada da Ata de Eleição da Diretoria;</w:t>
      </w:r>
    </w:p>
    <w:p w:rsidR="00D72B40" w:rsidRDefault="00D72B40" w:rsidP="00D72B40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Ato de Nomeação ou da Ata de Eleição do(s) responsável (is) legal (is);</w:t>
      </w:r>
    </w:p>
    <w:p w:rsidR="00D72B40" w:rsidRDefault="00D72B40" w:rsidP="00D72B40">
      <w:pPr>
        <w:numPr>
          <w:ilvl w:val="0"/>
          <w:numId w:val="12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do CADIN Estadual.</w:t>
      </w:r>
    </w:p>
    <w:p w:rsidR="00D72B40" w:rsidRDefault="00D72B40" w:rsidP="00D72B40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III – RELAÇÃO DE DOCUMENTAÇÃO</w:t>
      </w:r>
    </w:p>
    <w:p w:rsidR="00D72B40" w:rsidRDefault="00D72B40" w:rsidP="00D72B40">
      <w:pPr>
        <w:keepNext/>
        <w:keepLines/>
        <w:spacing w:after="120"/>
        <w:ind w:right="4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USUÁRIOS DE RECURSOS HÍDRICOS COM FINALIDADES LUCRATIVAS</w:t>
      </w:r>
    </w:p>
    <w:p w:rsidR="00D72B40" w:rsidRDefault="00D72B40" w:rsidP="00D72B40">
      <w:pPr>
        <w:tabs>
          <w:tab w:val="left" w:pos="551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I.   Documentos Técnicos referentes às Obras e Serviços, no que couber: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Prévia - LP da SMA ou da CETESB;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Instalação - LI da SMA ou da CETESB;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Operação - LO SMA ou da CETESB;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Atestado de Regularidade Florestal ARF/DPRN (CBRN-CTR3);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Licença de perfuração emitida pelo DAEE, para empreendimento de construção de poços profundos;</w:t>
      </w:r>
    </w:p>
    <w:p w:rsidR="00D72B40" w:rsidRDefault="00D72B40" w:rsidP="00D72B40">
      <w:pPr>
        <w:numPr>
          <w:ilvl w:val="0"/>
          <w:numId w:val="13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da publicação do Ato de Outorga do DAEE.</w:t>
      </w:r>
    </w:p>
    <w:p w:rsidR="00D72B40" w:rsidRDefault="00D72B40" w:rsidP="00D72B40">
      <w:pPr>
        <w:tabs>
          <w:tab w:val="left" w:pos="537"/>
        </w:tabs>
        <w:spacing w:after="12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II. Documentos administrativos </w:t>
      </w:r>
    </w:p>
    <w:p w:rsidR="00D72B40" w:rsidRDefault="00D72B40" w:rsidP="00D72B40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cartão do CNPJ;</w:t>
      </w:r>
    </w:p>
    <w:p w:rsidR="00D72B40" w:rsidRDefault="00D72B40" w:rsidP="00D72B40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RG do(s) Responsável (is) Legal (is);</w:t>
      </w:r>
    </w:p>
    <w:p w:rsidR="00D72B40" w:rsidRDefault="00D72B40" w:rsidP="00D72B40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do CPF do(s) Responsável (is) Legal (is);</w:t>
      </w:r>
    </w:p>
    <w:p w:rsidR="00D72B40" w:rsidRDefault="00D72B40" w:rsidP="00D72B40">
      <w:pPr>
        <w:numPr>
          <w:ilvl w:val="0"/>
          <w:numId w:val="14"/>
        </w:numPr>
        <w:tabs>
          <w:tab w:val="left" w:pos="628"/>
        </w:tabs>
        <w:suppressAutoHyphens w:val="0"/>
        <w:spacing w:after="120"/>
        <w:ind w:firstLine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de documentação atestando a disponibilidade do terreno nos casos em que o empreendimento assim o exigir:</w:t>
      </w:r>
    </w:p>
    <w:p w:rsidR="00D72B40" w:rsidRDefault="00D72B40" w:rsidP="00D72B40">
      <w:pPr>
        <w:tabs>
          <w:tab w:val="left" w:pos="877"/>
        </w:tabs>
        <w:spacing w:after="120"/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Posse ou domínio mediante título ou matrícula de Cartório de Registro de Imóveis; ou</w:t>
      </w:r>
    </w:p>
    <w:p w:rsidR="00D72B40" w:rsidRDefault="00D72B40" w:rsidP="00D72B40">
      <w:pPr>
        <w:tabs>
          <w:tab w:val="left" w:pos="910"/>
        </w:tabs>
        <w:spacing w:after="120"/>
        <w:ind w:left="9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Posse provisória, decorrente de processo judicial de desapropriação, mediante termo de imissão provisória de posse; ou</w:t>
      </w:r>
    </w:p>
    <w:p w:rsidR="00D72B40" w:rsidRDefault="00D72B40" w:rsidP="00D72B40">
      <w:pPr>
        <w:tabs>
          <w:tab w:val="left" w:pos="891"/>
        </w:tabs>
        <w:spacing w:after="120"/>
        <w:ind w:left="89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  <w:tab w:val="left" w:pos="284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do INSS;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  <w:tab w:val="left" w:pos="284"/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Certificado de Regularidade Fiscal junto ao FGTS;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Certidão Negativa (ou Positiva com Efeito de Negativa) de Tributos e Contribuições Federais administrados pela Secretaria da Receita Federal;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Certidão Negativa de Débitos Trabalhistas. </w:t>
      </w:r>
    </w:p>
    <w:p w:rsidR="00D72B40" w:rsidRDefault="00D72B40" w:rsidP="00D72B40">
      <w:pPr>
        <w:numPr>
          <w:ilvl w:val="0"/>
          <w:numId w:val="15"/>
        </w:numPr>
        <w:tabs>
          <w:tab w:val="left" w:pos="0"/>
          <w:tab w:val="left" w:pos="542"/>
          <w:tab w:val="left" w:pos="709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Cópia autenticada do Estatuto registrado em Cartório ou do Contrato Social registrado na Junta Comercial;</w:t>
      </w:r>
    </w:p>
    <w:p w:rsidR="00D72B40" w:rsidRDefault="00D72B40" w:rsidP="00D72B40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autenticada da Ata de Eleição da Diretoria, se couber;</w:t>
      </w:r>
    </w:p>
    <w:p w:rsidR="00D72B40" w:rsidRDefault="00D72B40" w:rsidP="00D72B40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Cópia do Ato de Nomeação ou da Ata de Eleição do(s) responsável (is) legal (is), se couber;</w:t>
      </w:r>
    </w:p>
    <w:p w:rsidR="00D72B40" w:rsidRDefault="00D72B40" w:rsidP="00D72B40">
      <w:pPr>
        <w:numPr>
          <w:ilvl w:val="0"/>
          <w:numId w:val="15"/>
        </w:numPr>
        <w:tabs>
          <w:tab w:val="left" w:pos="542"/>
        </w:tabs>
        <w:suppressAutoHyphens w:val="0"/>
        <w:spacing w:after="120"/>
        <w:ind w:left="568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Certidão do CADIN Estadual.</w:t>
      </w:r>
    </w:p>
    <w:p w:rsidR="00D72B40" w:rsidRDefault="00D72B40" w:rsidP="00D72B40">
      <w:pPr>
        <w:spacing w:after="120"/>
        <w:ind w:left="28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Obs</w:t>
      </w:r>
      <w:r>
        <w:rPr>
          <w:rFonts w:ascii="Arial" w:eastAsia="Arial" w:hAnsi="Arial" w:cs="Arial"/>
          <w:sz w:val="20"/>
        </w:rPr>
        <w:t xml:space="preserve">.: As Certidões citadas nos itens II.f, II.g, II.h e II.i deverão estar dentro do prazo de validade quando do protocolo no Comitê ou até 3 (três) dias antes da Plenária do Comitê que deliberará a indicação da proposta. </w:t>
      </w: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</w:p>
    <w:p w:rsidR="00D72B40" w:rsidRDefault="00D72B40" w:rsidP="00D72B40">
      <w:pPr>
        <w:tabs>
          <w:tab w:val="left" w:pos="3450"/>
        </w:tabs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IV – ESTRUTURA DAS PROPOSTAS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As propostas deverão ser elaboradas em conformidade com o MPO e seguir a estrutura proposta nesta Deliberação, descrita a seguir: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1. Apresentação institucional do proponente</w:t>
      </w:r>
      <w:r>
        <w:rPr>
          <w:rFonts w:ascii="Arial" w:eastAsia="Arial" w:hAnsi="Arial" w:cs="Arial"/>
          <w:sz w:val="18"/>
        </w:rPr>
        <w:t>: Descrição sucinta do histórico da instituição, entidade ou organização, assim como projetos desenvolvidos na área da proposta.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2. Área de atuação da proposta</w:t>
      </w:r>
      <w:r>
        <w:rPr>
          <w:rFonts w:ascii="Arial" w:eastAsia="Arial" w:hAnsi="Arial" w:cs="Arial"/>
          <w:sz w:val="18"/>
        </w:rPr>
        <w:t>: Apresentar a ação da proposta dentro do Plano de Bacia do CBH-BS e do 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3. Introdução</w:t>
      </w:r>
      <w:r>
        <w:rPr>
          <w:rFonts w:ascii="Arial" w:eastAsia="Arial" w:hAnsi="Arial" w:cs="Arial"/>
          <w:sz w:val="18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importância da proposta.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4. Justificativa</w:t>
      </w:r>
      <w:r>
        <w:rPr>
          <w:rFonts w:ascii="Arial" w:eastAsia="Arial" w:hAnsi="Arial" w:cs="Arial"/>
          <w:sz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5. Objetivo geral</w:t>
      </w:r>
      <w:r>
        <w:rPr>
          <w:rFonts w:ascii="Arial" w:eastAsia="Arial" w:hAnsi="Arial" w:cs="Arial"/>
          <w:sz w:val="18"/>
        </w:rPr>
        <w:t xml:space="preserve">: Deve demonstrar os propósitos da proposta de forma ampla.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6. Objetivos específicos</w:t>
      </w:r>
      <w:r>
        <w:rPr>
          <w:rFonts w:ascii="Arial" w:eastAsia="Arial" w:hAnsi="Arial" w:cs="Arial"/>
          <w:sz w:val="18"/>
        </w:rPr>
        <w:t>: São os detalhamentos do objetivo geral, que devem ser alcançados através de ações específicas relacionadas com os resultados esperados.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7. Público alvo</w:t>
      </w:r>
      <w:r>
        <w:rPr>
          <w:rFonts w:ascii="Arial" w:eastAsia="Arial" w:hAnsi="Arial" w:cs="Arial"/>
          <w:sz w:val="18"/>
        </w:rPr>
        <w:t>: É o público que será beneficiado com os resultados da proposta, sendo necessário ser coerente com os propósitos estabelecidos pela proposta.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8. Metodologia (somente para projetos e estudos)</w:t>
      </w:r>
      <w:r>
        <w:rPr>
          <w:rFonts w:ascii="Arial" w:eastAsia="Arial" w:hAnsi="Arial" w:cs="Arial"/>
          <w:sz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9. Especificação técnica (somente para serviços e obras)</w:t>
      </w:r>
      <w:r>
        <w:rPr>
          <w:rFonts w:ascii="Arial" w:eastAsia="Arial" w:hAnsi="Arial" w:cs="Arial"/>
          <w:sz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10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Parcerias (quando aplicável)</w:t>
      </w:r>
      <w:r>
        <w:rPr>
          <w:rFonts w:ascii="Arial" w:eastAsia="Arial" w:hAnsi="Arial" w:cs="Arial"/>
          <w:sz w:val="18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11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Equipe técnica</w:t>
      </w:r>
      <w:r>
        <w:rPr>
          <w:rFonts w:ascii="Arial" w:eastAsia="Arial" w:hAnsi="Arial" w:cs="Arial"/>
          <w:sz w:val="18"/>
        </w:rPr>
        <w:t xml:space="preserve">: apresentar todos </w:t>
      </w:r>
      <w:r w:rsidR="00EB5551">
        <w:rPr>
          <w:rFonts w:ascii="Arial" w:eastAsia="Arial" w:hAnsi="Arial" w:cs="Arial"/>
          <w:sz w:val="18"/>
        </w:rPr>
        <w:t xml:space="preserve">os </w:t>
      </w:r>
      <w:r>
        <w:rPr>
          <w:rFonts w:ascii="Arial" w:eastAsia="Arial" w:hAnsi="Arial" w:cs="Arial"/>
          <w:sz w:val="18"/>
        </w:rPr>
        <w:t>membros da entidade proponente que serão responsáveis pelo desenvolvimento da proposta, descrevendo a formação acadêmica, a experiência na área e a função.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12. Metas e atividades (somente para projetos e estudos)</w:t>
      </w:r>
      <w:r>
        <w:rPr>
          <w:rFonts w:ascii="Arial" w:eastAsia="Arial" w:hAnsi="Arial" w:cs="Arial"/>
          <w:sz w:val="18"/>
        </w:rPr>
        <w:t>: As metas envolvem as ações e as atividades necessárias para alcançar certo objetivo específico, devendo ser claras, exequíveis e mensuráveis em determinado período de tempo.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13. Plano de trabalho (somente para serviços e obras)</w:t>
      </w:r>
      <w:r>
        <w:rPr>
          <w:rFonts w:ascii="Arial" w:eastAsia="Arial" w:hAnsi="Arial" w:cs="Arial"/>
          <w:sz w:val="18"/>
        </w:rPr>
        <w:t>: Descrição das atividades a serem desenvolvidas para a execução de serviços ou obras.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14. Indicadores para avaliação</w:t>
      </w:r>
      <w:r>
        <w:rPr>
          <w:rFonts w:ascii="Arial" w:eastAsia="Arial" w:hAnsi="Arial" w:cs="Arial"/>
          <w:sz w:val="18"/>
        </w:rPr>
        <w:t>: O proponente deverá fornecer uma proposta de indicadores para avaliar o desempenho do projeto, estudo, serviço ou obra, durante a sua execução e na conclusão.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15. Resultados esperados</w:t>
      </w:r>
      <w:r>
        <w:rPr>
          <w:rFonts w:ascii="Arial" w:eastAsia="Arial" w:hAnsi="Arial" w:cs="Arial"/>
          <w:sz w:val="18"/>
        </w:rPr>
        <w:t>: As propostas deverão descrever claramente os resultados e produtos a serem obtidos com a conclusão do projeto, estudo, serviço ou obra.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16. Bibliografia</w:t>
      </w:r>
      <w:r>
        <w:rPr>
          <w:rFonts w:ascii="Arial" w:eastAsia="Arial" w:hAnsi="Arial" w:cs="Arial"/>
          <w:sz w:val="18"/>
        </w:rPr>
        <w:t>: As propostas deverão citar as bibliografias utilizadas.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17. Cronograma físico-financeiro</w:t>
      </w:r>
      <w:r>
        <w:rPr>
          <w:rFonts w:ascii="Arial" w:eastAsia="Arial" w:hAnsi="Arial" w:cs="Arial"/>
          <w:sz w:val="18"/>
        </w:rPr>
        <w:t>: Cada atividade descrita no Termo de Referência deverá ser descrita no cronograma, com seus valores e horizonte temporal. O modelo a ser utilizado é o Anexo VII do 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18. Planilha de orçamento</w:t>
      </w:r>
      <w:r>
        <w:rPr>
          <w:rFonts w:ascii="Arial" w:eastAsia="Arial" w:hAnsi="Arial" w:cs="Arial"/>
          <w:sz w:val="18"/>
        </w:rPr>
        <w:t>: As propostas deverão apresentar os custos detalhados de cada item necessário, agrupando-os por atividade. O modelo a ser utilizado é o Anexo VIII do MPO.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19. Ficha resumo</w:t>
      </w:r>
      <w:r>
        <w:rPr>
          <w:rFonts w:ascii="Arial" w:eastAsia="Arial" w:hAnsi="Arial" w:cs="Arial"/>
          <w:sz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Observações</w:t>
      </w:r>
      <w:r>
        <w:rPr>
          <w:rFonts w:ascii="Arial" w:eastAsia="Arial" w:hAnsi="Arial" w:cs="Arial"/>
          <w:sz w:val="18"/>
        </w:rPr>
        <w:t xml:space="preserve">: </w:t>
      </w:r>
    </w:p>
    <w:p w:rsidR="00D72B40" w:rsidRDefault="00D72B40" w:rsidP="00D72B40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</w:t>
      </w:r>
      <w:r>
        <w:rPr>
          <w:rFonts w:ascii="Arial" w:eastAsia="Arial" w:hAnsi="Arial" w:cs="Arial"/>
          <w:sz w:val="18"/>
        </w:rPr>
        <w:t xml:space="preserve">. Os itens 1 ao 16 devem estar em um único documento denominado </w:t>
      </w:r>
      <w:r>
        <w:rPr>
          <w:rFonts w:ascii="Arial" w:eastAsia="Arial" w:hAnsi="Arial" w:cs="Arial"/>
          <w:b/>
          <w:sz w:val="18"/>
        </w:rPr>
        <w:t>Termo de Referência</w:t>
      </w:r>
      <w:r>
        <w:rPr>
          <w:rFonts w:ascii="Arial" w:eastAsia="Arial" w:hAnsi="Arial" w:cs="Arial"/>
          <w:sz w:val="18"/>
        </w:rPr>
        <w:t>, que norteará a execução do Projeto, Estudo, Serviço ou Obra. Recomenda-se utilizar processador de texto MS Word versão 2003 em diante.</w:t>
      </w:r>
    </w:p>
    <w:p w:rsidR="00D72B40" w:rsidRDefault="00D72B40" w:rsidP="00D72B40">
      <w:pPr>
        <w:tabs>
          <w:tab w:val="left" w:pos="944"/>
        </w:tabs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b</w:t>
      </w:r>
      <w:r>
        <w:rPr>
          <w:rFonts w:ascii="Arial" w:eastAsia="Arial" w:hAnsi="Arial" w:cs="Arial"/>
          <w:sz w:val="18"/>
        </w:rPr>
        <w:t>. Para as propostas de serviços ou obras o Termo de Referência deverá se apresentar sob a forma de um projeto Básico ou executivo, conforme estabelecido pela Lei n° 8.666/1993;</w:t>
      </w:r>
    </w:p>
    <w:p w:rsidR="00D72B40" w:rsidRDefault="00D72B40" w:rsidP="00D72B40">
      <w:pPr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c</w:t>
      </w:r>
      <w:r>
        <w:rPr>
          <w:rFonts w:ascii="Arial" w:eastAsia="Arial" w:hAnsi="Arial" w:cs="Arial"/>
          <w:sz w:val="18"/>
        </w:rPr>
        <w:t>. Os itens 16, 17 e 18 deverão ser elaborados em documentos distintos, sendo recomendada a utilização de planilha eletrônica MS Excel versão 2003 em diante.</w:t>
      </w:r>
    </w:p>
    <w:p w:rsidR="00D72B40" w:rsidRP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V – CRITÉRIOS DE PONTUAÇÃO DAS PROPOSTAS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As propostas serão pontuadas seguindo os critérios: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ETAPA DE ANÁLISE TÉCNICA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I. Enquadramento da proposta nas ações previstas no Plano de Bacia Hidrográfica (7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Atende: 7 pontos</w:t>
      </w:r>
    </w:p>
    <w:p w:rsidR="00D72B40" w:rsidRDefault="00D72B40" w:rsidP="00D72B40">
      <w:pPr>
        <w:spacing w:after="120"/>
        <w:ind w:left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- Não atende o Plano de Bacia: </w:t>
      </w:r>
      <w:r>
        <w:rPr>
          <w:rFonts w:ascii="Arial" w:eastAsia="Arial" w:hAnsi="Arial" w:cs="Arial"/>
          <w:b/>
          <w:sz w:val="18"/>
        </w:rPr>
        <w:t>desclassificado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8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ETAPA DE PONTUAÇÃO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II.  Estrutura da proposta (39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II.a Apresentação Institucional do proponente.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II.b Área de atuação da proposta.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II.c Introdução.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II.d Justificativa.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II.e Objetivo geral.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II.f Objetivos específicos.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II.g Público alvo.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II.h Metodologia (somente para projetos e estudos).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lastRenderedPageBreak/>
        <w:t>II.i Especificação técnica (somente para Serviços e Obras).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II.j Equipe técnica.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II.k Metas e atividades (somente para projetos e estudos).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II.l Plano de trabalho (somente para serviços e obras).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II.m Propostas para avaliação. 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II.n Resultados esperados.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II.o Bibliografia.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1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Observações</w:t>
      </w:r>
      <w:r>
        <w:rPr>
          <w:rFonts w:ascii="Arial" w:eastAsia="Arial" w:hAnsi="Arial" w:cs="Arial"/>
          <w:sz w:val="18"/>
        </w:rPr>
        <w:t>:</w:t>
      </w:r>
    </w:p>
    <w:p w:rsidR="00D72B40" w:rsidRDefault="00D72B40" w:rsidP="00D72B40">
      <w:pPr>
        <w:numPr>
          <w:ilvl w:val="0"/>
          <w:numId w:val="16"/>
        </w:numPr>
        <w:tabs>
          <w:tab w:val="left" w:pos="0"/>
        </w:tabs>
        <w:spacing w:after="120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 itens II.a a II.o deverão estar em conformidade com os critérios definidos no Anexo IV para que recebam o conceito satisfatório;</w:t>
      </w:r>
    </w:p>
    <w:p w:rsidR="00D72B40" w:rsidRDefault="00D72B40" w:rsidP="00D72B40">
      <w:pPr>
        <w:numPr>
          <w:ilvl w:val="0"/>
          <w:numId w:val="16"/>
        </w:numPr>
        <w:tabs>
          <w:tab w:val="left" w:pos="0"/>
        </w:tabs>
        <w:spacing w:after="120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A ausência de três ou mais dos itens acima elencados resulta na desclassificação da proposta.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III.  Orçamento coerente com a metodologia e os resultados esperados (6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6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2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Ausente: desclassificação da proposta 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IV.  Cronograma físico-financeiro coerente com a execução da proposta (6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Plenamente satisfatório: 6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Parcialmente satisfatório: 2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Ausente: desclassificação da proposta 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V. Preenchimento dos campos da Ficha Resumo (7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Corretamente (nenhum erro): 7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Poucos erros (um a três): 3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Muitos erros (acima de três): 0 ponto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Ausente: desclassificação da proposta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VI.   Apresentação de contrapartida 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 a. Financiamento não reembolsável (35 pontos).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4 (quatro) vezes do percentual mínimo estabelecido no MPO: 35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3 (três) vezes do percentual mínimo estabelecido no MPO: 25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de 2 (duas) vezes do percentual mínimo estabelecido no MPO: 15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Acima do percentual mínimo e até 2 (duas) vezes estabelecido no MPO: 5 pontos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Mínimo exigido pelo MPO: 0 ponto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 b. Financiamento reembolsável (35 pontos).</w:t>
      </w:r>
    </w:p>
    <w:p w:rsidR="00D72B40" w:rsidRDefault="00D72B40" w:rsidP="00D72B40">
      <w:pPr>
        <w:spacing w:after="120"/>
        <w:ind w:firstLine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 Proponentes que submeterem propostas na modalidade reembolsável: 30 pontos.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VII. FATOR DE BONIFICAÇÃO FB (Acréscimo de até 10% sobre a pontuação): FB = 1 + (VIIIa + VIIIb + VIIIc)/100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a. Indicação de prioridade da proposta pelo proponente (3%).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Proposta única ou prioritária: 3%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b. Eficiência na utilização do financiamento do FEHIDRO (3%).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Proponente que não obteve financiamento do FEHIDRO: 1%  </w:t>
      </w:r>
    </w:p>
    <w:p w:rsidR="00D72B40" w:rsidRDefault="00D72B40" w:rsidP="00D72B40">
      <w:pPr>
        <w:spacing w:after="120"/>
        <w:ind w:left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 Proponente com 1 (uma) ou 2 (duas) propostas aprovadas e concluídas no período 2009-2012: 2%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Proponente com 3 (três) ou mais propostas aprovadas e concluídas no período 2009-2012: 3%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VII c. Eficiência na continuidade de utilização do financiamento do FEHIDRO (4%).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Proposta de continuidade de projeto, estudo, serviço ou obra já financiada pelo FEHIDRO: 4%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TOTALIZAÇÃO DOS PONTOS TP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TP = (Pontos da Etapa de Análise Técnica + Pontos da Etapa de Pontuação) x FB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CRITÉRIOS DE DESEMPATE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- Porcentual do valor da contrapartida sobre o valor total da proposta. 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Número de Projetos, Estudos, Serviços e Obras concluídas com o financiamento do FEHIDRO.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>- Número de propostas aprovadas no processo de obtenção de financiamento do FEHIDRO.</w:t>
      </w: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ind w:left="340" w:hanging="340"/>
        <w:jc w:val="both"/>
        <w:rPr>
          <w:rFonts w:ascii="Arial" w:eastAsia="Arial" w:hAnsi="Arial" w:cs="Arial"/>
          <w:sz w:val="20"/>
        </w:rPr>
      </w:pPr>
    </w:p>
    <w:p w:rsidR="00D72B40" w:rsidRDefault="00D72B40" w:rsidP="00D72B40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ANEXO VI – DESCRIÇÃO DAS AÇÕES PRIORIZADAS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PDC 1: BASE DE DADOS, CADASTROS, ESTUDOS E LEVANTAMENTOS 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1.1</w:t>
      </w:r>
      <w:r>
        <w:rPr>
          <w:rFonts w:ascii="Arial" w:eastAsia="Arial" w:hAnsi="Arial" w:cs="Arial"/>
          <w:sz w:val="18"/>
        </w:rPr>
        <w:t>: Desenvolvimento do Sistema de Informações e de Planejamento de Recursos Hídricos.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1.1.2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Estudos, projetos e levantamentos para apoio ao Sistema de Planejamento de recursos hídricos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Desenvolvimento de Estudos, Projetos e levantamentos para apoio ao Sistema de Planejamento de Recursos Hídricos do Estado.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1.1.3</w:t>
      </w:r>
      <w:r>
        <w:rPr>
          <w:rFonts w:ascii="Arial" w:eastAsia="Arial" w:hAnsi="Arial" w:cs="Arial"/>
          <w:sz w:val="18"/>
        </w:rPr>
        <w:t xml:space="preserve">: Proposições para o reenquadramento dos corpos d´água em classes de uso preponderante.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 e proposições para o reenquadramento dos corpos d´água em classes de uso preponderante.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1.2</w:t>
      </w:r>
      <w:r>
        <w:rPr>
          <w:rFonts w:ascii="Arial" w:eastAsia="Arial" w:hAnsi="Arial" w:cs="Arial"/>
          <w:sz w:val="18"/>
        </w:rPr>
        <w:t>: Monitoramento da Quantidade e da Qualidade dos Recursos Hídricos.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1.2.1</w:t>
      </w:r>
      <w:r>
        <w:rPr>
          <w:rFonts w:ascii="Arial" w:eastAsia="Arial" w:hAnsi="Arial" w:cs="Arial"/>
          <w:sz w:val="18"/>
        </w:rPr>
        <w:t xml:space="preserve">: Operação da rede básica hidrológica, piezométrica e de qualidade das águas.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Modernização/implantação e operação das redes hidrológica, hidrometeorológica, sedimentométrica, piezométrica e de qualidade das águas interiores e litorâneas.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1.2.2</w:t>
      </w:r>
      <w:r>
        <w:rPr>
          <w:rFonts w:ascii="Arial" w:eastAsia="Arial" w:hAnsi="Arial" w:cs="Arial"/>
          <w:sz w:val="18"/>
        </w:rPr>
        <w:t xml:space="preserve">: Divulgação de dados da quantidade e qualidade dos recursos hídricos, e de operação de reservatórios.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Acompanhamento, análise, processamento, publicação e difusão de dados relativos ao monitoramento da quantidade e qualidade dos recursos hídricos, inclusive operação de reservatórios.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1.5</w:t>
      </w:r>
      <w:r>
        <w:rPr>
          <w:rFonts w:ascii="Arial" w:eastAsia="Arial" w:hAnsi="Arial" w:cs="Arial"/>
          <w:sz w:val="18"/>
        </w:rPr>
        <w:t xml:space="preserve">: Identificação e Monitoramento das Fontes de Poluição das Águas.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1.5.2</w:t>
      </w:r>
      <w:r>
        <w:rPr>
          <w:rFonts w:ascii="Arial" w:eastAsia="Arial" w:hAnsi="Arial" w:cs="Arial"/>
          <w:sz w:val="18"/>
        </w:rPr>
        <w:t xml:space="preserve">: Monitoramento dos pontos de lançamentos de efluentes industriais e regularização das respectivas outorgas.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Cadastramento, estudo, caracterização e monitoramento dos pontos de lançamentos de efluentes industriais, regularização das respectivas outorgas e monitoramento da renovação das licenças.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1.5.3</w:t>
      </w:r>
      <w:r>
        <w:rPr>
          <w:rFonts w:ascii="Arial" w:eastAsia="Arial" w:hAnsi="Arial" w:cs="Arial"/>
          <w:sz w:val="18"/>
        </w:rPr>
        <w:t xml:space="preserve">: Monitoramento das fontes difusas de poluição urbana e por insumos agrícolas.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Cadastramento, estudo, caracterização e monitoramento das fontes difusas de poluição urbana e por insumos agrícolas.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2: GERENCIAMENTO DOS RECURSOS HÍDRICOS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2.1</w:t>
      </w:r>
      <w:r>
        <w:rPr>
          <w:rFonts w:ascii="Arial" w:eastAsia="Arial" w:hAnsi="Arial" w:cs="Arial"/>
          <w:sz w:val="18"/>
        </w:rPr>
        <w:t>: Gerenciamento dos Recursos Hídricos.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2.1.1</w:t>
      </w:r>
      <w:r>
        <w:rPr>
          <w:rFonts w:ascii="Arial" w:eastAsia="Arial" w:hAnsi="Arial" w:cs="Arial"/>
          <w:sz w:val="18"/>
        </w:rPr>
        <w:t xml:space="preserve">: Apoio às entidades básicas do SIGRH e associações de usuários de recursos hídricos.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Apoio técnico e administrativo aos Comitês de Bacias Hidrográficas, às entidades básicas do SIGRH, e incentivos para a criação de associações de usuários de recursos hídricos.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3: RECUPERAÇÃO DA QUALIDADE DOS CORPOS D'ÁGUA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3.1</w:t>
      </w:r>
      <w:r>
        <w:rPr>
          <w:rFonts w:ascii="Arial" w:eastAsia="Arial" w:hAnsi="Arial" w:cs="Arial"/>
          <w:sz w:val="18"/>
        </w:rPr>
        <w:t>: Tratamento dos Efluentes dos Sistemas Urbanos de Água e Esgoto.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3.1.1</w:t>
      </w:r>
      <w:r>
        <w:rPr>
          <w:rFonts w:ascii="Arial" w:eastAsia="Arial" w:hAnsi="Arial" w:cs="Arial"/>
          <w:sz w:val="18"/>
        </w:rPr>
        <w:t xml:space="preserve">:Tratamento dos Efluentes Urbanos, Efluentes das ETAs e disposição final dos lodos das ETEs.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Estudos, Projetos e Obras de Interceptação, Afastamento, Tratamento e Disposição de esgotos Urbanos, tratamento dos Efluentes Urbanos, Efluentes das ETAs e disposição final dos lodos das ETEs, excluída a rede coletora.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3.3</w:t>
      </w:r>
      <w:r>
        <w:rPr>
          <w:rFonts w:ascii="Arial" w:eastAsia="Arial" w:hAnsi="Arial" w:cs="Arial"/>
          <w:sz w:val="18"/>
        </w:rPr>
        <w:t>: Apoio ao Controle das Fontes de Poluição, inclusive as difusas.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3.3.1</w:t>
      </w:r>
      <w:r>
        <w:rPr>
          <w:rFonts w:ascii="Arial" w:eastAsia="Arial" w:hAnsi="Arial" w:cs="Arial"/>
          <w:sz w:val="18"/>
        </w:rPr>
        <w:t xml:space="preserve">:Tratamento de efluentes dos sistemas de disposição final dos resíduos sólidos urbanos, e das fontes difusas de poluição.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Estudos, Projetos e Obras de tratamento dos sistemas de disposição final dos resíduos sólidos urbanos, bem como estudos e projetos para o controle das fontes difusas de poluição. 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PDC 4: CONSERVAÇÃO E PROTEÇÃO DOS CORPOS D’ ÁGUA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4.1</w:t>
      </w:r>
      <w:r>
        <w:rPr>
          <w:rFonts w:ascii="Arial" w:eastAsia="Arial" w:hAnsi="Arial" w:cs="Arial"/>
          <w:sz w:val="18"/>
        </w:rPr>
        <w:t>: Proteção e Conservação dos Mananciais.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4.1.1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Estudos de viabilidade e aperfeiçoamentos da legislação de proteção dos mananciais atuais e futuros.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Identificação de mananciais futuros, estudos de viabilidade para as alternativas de sua utilização, assim como o acompanhamento e aperfeiçoamento da legislação de proteção dos atuais mananciais. 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4.1.2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Estudos para implementação da política estadual de proteção e recuperação dos mananciais, com base na Lei nº 9866/97.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Estudos para implantação da política estadual de proteção e recuperação dos mananciais de interesse regional com base na Lei nº 9866, de 28 de novembro de 1997. 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4.1.3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Ações de recomposição da vegetação ciliar e da cobertura vegetal e disciplinamento do uso do solo.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Incentivos e ações de recomposição da vegetação ciliar e de topos de morro, da cobertura vegetal da bacia hidrográfica e de fomento ao disciplinamento do uso do solo, rural e urbano. 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4.2</w:t>
      </w:r>
      <w:r>
        <w:rPr>
          <w:rFonts w:ascii="Arial" w:eastAsia="Arial" w:hAnsi="Arial" w:cs="Arial"/>
          <w:sz w:val="18"/>
        </w:rPr>
        <w:t>: Parceria com Municípios para Proteção de Mananciais Locais de Abastecimento Urbano.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4.2.1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Parceria com Municípios para Proteção de Mananciais Locais de Abastecimento Urbano.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Convênios de mútua cooperação entre Estado e Prefeituras com vistas à delegação aos municípios para a gestão de águas de interesse exclusivamente local e fins prioritários de abastecimento urbano, incluindo a aplicação da legislação de proteção aos mananciais.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PDC 5: PROMOÇÃO DO USO RACIONAL DOS RECURSOS HÍDRICOS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5.1</w:t>
      </w:r>
      <w:r>
        <w:rPr>
          <w:rFonts w:ascii="Arial" w:eastAsia="Arial" w:hAnsi="Arial" w:cs="Arial"/>
          <w:sz w:val="18"/>
        </w:rPr>
        <w:t>: Racionalização do Uso da Água no Sistema de Abastecimento Urbano.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5.1.1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Racionalização do Uso da Água no Sistema de Abastecimento Urbano.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Incentivo e fomento a ações voltadas para a redução de perdas e desperdício nos sistemas urbanos de abastecimento de água.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5.3</w:t>
      </w:r>
      <w:r>
        <w:rPr>
          <w:rFonts w:ascii="Arial" w:eastAsia="Arial" w:hAnsi="Arial" w:cs="Arial"/>
          <w:sz w:val="18"/>
        </w:rPr>
        <w:t>: Racionalização do Uso da Água na Indústria e Orientação à Localização Industrial.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5.3.1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Apoio à localização industrial.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Apoio à localização industrial mediante difusão de informações sobre as disponibilidades hídricas e o enquadramento dos corpos d’água, nos locais de interesse para captação de águas e lançamentos. </w:t>
      </w:r>
    </w:p>
    <w:p w:rsidR="00D72B40" w:rsidRDefault="00D72B40" w:rsidP="00D72B40">
      <w:pPr>
        <w:spacing w:before="60" w:after="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Ação </w:t>
      </w:r>
      <w:r w:rsidR="00BB0996">
        <w:rPr>
          <w:rFonts w:ascii="Arial" w:eastAsia="Arial" w:hAnsi="Arial" w:cs="Arial"/>
          <w:b/>
          <w:sz w:val="18"/>
        </w:rPr>
        <w:t>5.3.2</w:t>
      </w:r>
      <w:r w:rsidR="00BB0996"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 xml:space="preserve">Apoio a empreendimentos e difusão de informações sobre recirculação e processos que economizem a água em atividades industriais.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Apoio à troca e aquisição de equipamentos, difusão de informações sobre reuso, recirculação e equipamentos/processos que economizem a água, incentivando a sua utilização racional nas atividades industriais.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PDC 7: PREVENÇÃO E DEFESA CONTRA EVENTOS HIDROLÓGICOS EXTREMOS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7.1</w:t>
      </w:r>
      <w:r>
        <w:rPr>
          <w:rFonts w:ascii="Arial" w:eastAsia="Arial" w:hAnsi="Arial" w:cs="Arial"/>
          <w:sz w:val="18"/>
        </w:rPr>
        <w:t>: Apoio à Implementação de Ações Não Estruturais de Defesa Contra Inundações.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7.1.1</w:t>
      </w:r>
      <w:r>
        <w:rPr>
          <w:rFonts w:ascii="Arial" w:eastAsia="Arial" w:hAnsi="Arial" w:cs="Arial"/>
          <w:sz w:val="18"/>
        </w:rPr>
        <w:t xml:space="preserve">: Zoneamento de áreas inundáveis e estudos de normas quanto ao uso do solo mais condizente com a convivência com as cheias.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Cadastramento e zoneamento de áreas inundáveis, e realização de estudos e pesquisas de instrumentos normativos quanto ao uso do solo mais condizente com a convivência com as cheias.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7.1.2</w:t>
      </w:r>
      <w:r>
        <w:rPr>
          <w:rFonts w:ascii="Arial" w:eastAsia="Arial" w:hAnsi="Arial" w:cs="Arial"/>
          <w:sz w:val="18"/>
        </w:rPr>
        <w:t xml:space="preserve">: Desenvolvimento de estudos e projetos para apoio à elaboração dos planos de macrodrenagem urbana.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Desenvolvimento de estudos e projetos para apoio à elaboração dos Planos de Macrodrenagem Urbana.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7.1.3</w:t>
      </w:r>
      <w:r>
        <w:rPr>
          <w:rFonts w:ascii="Arial" w:eastAsia="Arial" w:hAnsi="Arial" w:cs="Arial"/>
          <w:sz w:val="18"/>
        </w:rPr>
        <w:t xml:space="preserve">: Operação de sistemas de alerta, radares metrológicos e redes telemétricas.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Atualização/ampliação e operação de sistemas de alerta contra inundações, radares meteorológicos e redes telemétricas.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7.1.4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Apoio às medidas não estruturais contra inundações e apoio às atividades de Defesa Civil</w:t>
      </w:r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6"/>
        </w:rPr>
        <w:t>Assistência técnica e cooperação com os municípios, na implementação de medidas não estruturais de prevenção e defesa contra inundações, bem como, o desenvolvimento e apoio às atividades de Defesa Civil</w:t>
      </w:r>
      <w:r>
        <w:rPr>
          <w:rFonts w:ascii="Arial" w:eastAsia="Arial" w:hAnsi="Arial" w:cs="Arial"/>
          <w:sz w:val="18"/>
        </w:rPr>
        <w:t>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Sub PDC 7.2</w:t>
      </w:r>
      <w:r>
        <w:rPr>
          <w:rFonts w:ascii="Arial" w:eastAsia="Arial" w:hAnsi="Arial" w:cs="Arial"/>
          <w:sz w:val="18"/>
        </w:rPr>
        <w:t>: Implementação de Ações Estruturais de Defesa contra Inundações.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7.2.1</w:t>
      </w:r>
      <w:r>
        <w:rPr>
          <w:rFonts w:ascii="Arial" w:eastAsia="Arial" w:hAnsi="Arial" w:cs="Arial"/>
          <w:sz w:val="18"/>
        </w:rPr>
        <w:t xml:space="preserve">: Projetos e obras de desassoreamento, retificação e canalização de cursos d’água.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Estudos, projetos, serviços e obras de desassoreamento, retificação e canalização de cursos d’água, em parceria com os municípios.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7.2.2</w:t>
      </w:r>
      <w:r>
        <w:rPr>
          <w:rFonts w:ascii="Arial" w:eastAsia="Arial" w:hAnsi="Arial" w:cs="Arial"/>
          <w:sz w:val="18"/>
        </w:rPr>
        <w:t xml:space="preserve">: Projetos e obras de estruturas para contenção de cheias.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Estudos, projetos e obras de reservatórios para contenção de cheias e/ou regularização de descargas, ou de outras soluções estruturais não convencionais.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PDC 8: CAPACITAÇÃO TÉCNICA, EDUCAÇÃO AMBIENTAL E COMUNICAÇÃO SOCIAL 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Sub PDC 8.1</w:t>
      </w:r>
      <w:r>
        <w:rPr>
          <w:rFonts w:ascii="Arial" w:eastAsia="Arial" w:hAnsi="Arial" w:cs="Arial"/>
          <w:sz w:val="18"/>
        </w:rPr>
        <w:t>: Desenvolvimento Tecnológico, Capacitação de Recursos Humanos e Comunicação Social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8.1.1</w:t>
      </w:r>
      <w:r>
        <w:rPr>
          <w:rFonts w:ascii="Arial" w:eastAsia="Arial" w:hAnsi="Arial" w:cs="Arial"/>
          <w:sz w:val="18"/>
        </w:rPr>
        <w:t xml:space="preserve">: Treinamento e capacitação alusivos à gestão de recursos hídricos.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Programas de desenvolvimento institucional e gerencial e de valorização profissional (treinamento e capacitação) alusivos à gestão de recursos hídricos.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Ação 8.1.3</w:t>
      </w:r>
      <w:r>
        <w:rPr>
          <w:rFonts w:ascii="Arial" w:eastAsia="Arial" w:hAnsi="Arial" w:cs="Arial"/>
          <w:sz w:val="18"/>
        </w:rPr>
        <w:t xml:space="preserve">: Fomento à realização de cursos e seminários de atualização, aperfeiçoamento e especialização em recursos hídricos. </w:t>
      </w:r>
      <w:r>
        <w:rPr>
          <w:rFonts w:ascii="Arial" w:eastAsia="Arial" w:hAnsi="Arial" w:cs="Arial"/>
          <w:b/>
          <w:sz w:val="18"/>
        </w:rPr>
        <w:t>Descrição da ação</w:t>
      </w:r>
      <w:r>
        <w:rPr>
          <w:rFonts w:ascii="Arial" w:eastAsia="Arial" w:hAnsi="Arial" w:cs="Arial"/>
          <w:sz w:val="18"/>
        </w:rPr>
        <w:t>: Desenvolvimento e fomento à realização de cursos, seminários de atualização, aperfeiçoamento e especialização, e de estudos e pesquisas em recursos hídricos.</w:t>
      </w:r>
    </w:p>
    <w:p w:rsidR="00D72B40" w:rsidRDefault="00D72B40" w:rsidP="00D72B40">
      <w:pPr>
        <w:spacing w:after="120"/>
        <w:jc w:val="both"/>
        <w:rPr>
          <w:rFonts w:ascii="Arial" w:eastAsia="Arial" w:hAnsi="Arial" w:cs="Arial"/>
          <w:b/>
          <w:sz w:val="18"/>
        </w:rPr>
      </w:pPr>
    </w:p>
    <w:p w:rsidR="007A54BB" w:rsidRPr="00D0432A" w:rsidRDefault="007A54BB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sectPr w:rsidR="007A54BB" w:rsidRPr="00D0432A" w:rsidSect="000728B2">
      <w:headerReference w:type="default" r:id="rId12"/>
      <w:footerReference w:type="default" r:id="rId13"/>
      <w:footnotePr>
        <w:pos w:val="beneathText"/>
      </w:footnotePr>
      <w:pgSz w:w="11905" w:h="16837"/>
      <w:pgMar w:top="1418" w:right="1132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90" w:rsidRDefault="00C13090">
      <w:r>
        <w:separator/>
      </w:r>
    </w:p>
  </w:endnote>
  <w:endnote w:type="continuationSeparator" w:id="0">
    <w:p w:rsidR="00C13090" w:rsidRDefault="00C1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CD" w:rsidRDefault="00C13090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73144B">
      <w:rPr>
        <w:noProof/>
      </w:rPr>
      <w:t>16</w:t>
    </w:r>
    <w:r>
      <w:rPr>
        <w:noProof/>
      </w:rPr>
      <w:fldChar w:fldCharType="end"/>
    </w:r>
  </w:p>
  <w:p w:rsidR="00D06CCD" w:rsidRDefault="00D06C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90" w:rsidRDefault="00C13090">
      <w:r>
        <w:separator/>
      </w:r>
    </w:p>
  </w:footnote>
  <w:footnote w:type="continuationSeparator" w:id="0">
    <w:p w:rsidR="00C13090" w:rsidRDefault="00C1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CD" w:rsidRDefault="00C13090">
    <w:pPr>
      <w:pStyle w:val="Cabealho"/>
      <w:rPr>
        <w:noProof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15pt;margin-top:7.2pt;width:369.9pt;height:38.7pt;z-index:251658240;mso-wrap-distance-left:9.05pt;mso-wrap-distance-right:9.05pt" o:allowincell="f" stroked="f">
          <v:fill color2="black"/>
          <v:textbox style="mso-next-textbox:#_x0000_s2050" inset="0,0,0,0">
            <w:txbxContent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  <w:sz w:val="2"/>
                  </w:rPr>
                </w:pPr>
              </w:p>
              <w:p w:rsidR="00D06CCD" w:rsidRDefault="00D06CCD">
                <w:pPr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COMITÊ DA BACIA HIDROGRÁFICA DA BAIXADA SANTISTA</w:t>
                </w:r>
              </w:p>
            </w:txbxContent>
          </v:textbox>
          <w10:wrap type="topAndBottom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pt;margin-top:.35pt;width:41pt;height:59.75pt;z-index:251657216;mso-wrap-distance-left:9.05pt;mso-wrap-distance-right:9.05pt" o:allowincell="f" filled="t" stroked="t" strokeweight=".5pt">
          <v:fill color2="black"/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5">
    <w:nsid w:val="0A505E5A"/>
    <w:multiLevelType w:val="multilevel"/>
    <w:tmpl w:val="BB0A17C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C9B4BAD"/>
    <w:multiLevelType w:val="multilevel"/>
    <w:tmpl w:val="D870CF4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2627739"/>
    <w:multiLevelType w:val="multilevel"/>
    <w:tmpl w:val="1CA8AC3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E205F9"/>
    <w:multiLevelType w:val="multilevel"/>
    <w:tmpl w:val="85D474A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2A08FD"/>
    <w:multiLevelType w:val="multilevel"/>
    <w:tmpl w:val="1BE47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D05C89"/>
    <w:multiLevelType w:val="multilevel"/>
    <w:tmpl w:val="811810C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D47B8B"/>
    <w:multiLevelType w:val="multilevel"/>
    <w:tmpl w:val="947CBE7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9E469F"/>
    <w:multiLevelType w:val="multilevel"/>
    <w:tmpl w:val="F496DAA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6131C"/>
    <w:multiLevelType w:val="multilevel"/>
    <w:tmpl w:val="AC26C84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E02CDD"/>
    <w:multiLevelType w:val="multilevel"/>
    <w:tmpl w:val="C134A23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B93FB4"/>
    <w:multiLevelType w:val="multilevel"/>
    <w:tmpl w:val="272E57C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7765DB"/>
    <w:multiLevelType w:val="multilevel"/>
    <w:tmpl w:val="B6382EA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923F1D"/>
    <w:multiLevelType w:val="multilevel"/>
    <w:tmpl w:val="DCD68C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B253D5"/>
    <w:multiLevelType w:val="multilevel"/>
    <w:tmpl w:val="AE14A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F24424"/>
    <w:multiLevelType w:val="multilevel"/>
    <w:tmpl w:val="985EE10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721E4E"/>
    <w:multiLevelType w:val="multilevel"/>
    <w:tmpl w:val="9738A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27"/>
  </w:num>
  <w:num w:numId="5">
    <w:abstractNumId w:val="26"/>
  </w:num>
  <w:num w:numId="6">
    <w:abstractNumId w:val="24"/>
  </w:num>
  <w:num w:numId="7">
    <w:abstractNumId w:val="16"/>
  </w:num>
  <w:num w:numId="8">
    <w:abstractNumId w:val="21"/>
  </w:num>
  <w:num w:numId="9">
    <w:abstractNumId w:val="22"/>
  </w:num>
  <w:num w:numId="10">
    <w:abstractNumId w:val="20"/>
  </w:num>
  <w:num w:numId="11">
    <w:abstractNumId w:val="18"/>
  </w:num>
  <w:num w:numId="12">
    <w:abstractNumId w:val="29"/>
  </w:num>
  <w:num w:numId="13">
    <w:abstractNumId w:val="17"/>
  </w:num>
  <w:num w:numId="14">
    <w:abstractNumId w:val="30"/>
  </w:num>
  <w:num w:numId="15">
    <w:abstractNumId w:val="28"/>
  </w:num>
  <w:num w:numId="1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6FDE"/>
    <w:rsid w:val="00002056"/>
    <w:rsid w:val="0000396F"/>
    <w:rsid w:val="000048AA"/>
    <w:rsid w:val="000060E9"/>
    <w:rsid w:val="00007111"/>
    <w:rsid w:val="00007946"/>
    <w:rsid w:val="0003223B"/>
    <w:rsid w:val="00033256"/>
    <w:rsid w:val="00041E23"/>
    <w:rsid w:val="00052084"/>
    <w:rsid w:val="00057789"/>
    <w:rsid w:val="000614E2"/>
    <w:rsid w:val="000728B2"/>
    <w:rsid w:val="00076AF7"/>
    <w:rsid w:val="00083C1C"/>
    <w:rsid w:val="00084C92"/>
    <w:rsid w:val="000915FD"/>
    <w:rsid w:val="00094F7F"/>
    <w:rsid w:val="00097195"/>
    <w:rsid w:val="000A660C"/>
    <w:rsid w:val="000D14D7"/>
    <w:rsid w:val="000F043C"/>
    <w:rsid w:val="001127BC"/>
    <w:rsid w:val="00115B94"/>
    <w:rsid w:val="00116D83"/>
    <w:rsid w:val="00120EA9"/>
    <w:rsid w:val="0012211E"/>
    <w:rsid w:val="00144000"/>
    <w:rsid w:val="00145087"/>
    <w:rsid w:val="00146B81"/>
    <w:rsid w:val="001572A9"/>
    <w:rsid w:val="00166E5D"/>
    <w:rsid w:val="00167386"/>
    <w:rsid w:val="00170B94"/>
    <w:rsid w:val="00172E5E"/>
    <w:rsid w:val="00186680"/>
    <w:rsid w:val="00190748"/>
    <w:rsid w:val="00190AD6"/>
    <w:rsid w:val="001A1400"/>
    <w:rsid w:val="001A1A03"/>
    <w:rsid w:val="001B1CD8"/>
    <w:rsid w:val="001B45B4"/>
    <w:rsid w:val="001C254C"/>
    <w:rsid w:val="001C7CC3"/>
    <w:rsid w:val="001D186C"/>
    <w:rsid w:val="001E0143"/>
    <w:rsid w:val="001E1923"/>
    <w:rsid w:val="001F3606"/>
    <w:rsid w:val="001F4A7D"/>
    <w:rsid w:val="001F5613"/>
    <w:rsid w:val="00206908"/>
    <w:rsid w:val="00222138"/>
    <w:rsid w:val="00226601"/>
    <w:rsid w:val="00226A11"/>
    <w:rsid w:val="002436FB"/>
    <w:rsid w:val="002514D8"/>
    <w:rsid w:val="002722AA"/>
    <w:rsid w:val="00274A9D"/>
    <w:rsid w:val="00282DE8"/>
    <w:rsid w:val="00294181"/>
    <w:rsid w:val="002A00BC"/>
    <w:rsid w:val="002A3802"/>
    <w:rsid w:val="002A6C71"/>
    <w:rsid w:val="002B1CED"/>
    <w:rsid w:val="002B480C"/>
    <w:rsid w:val="002B7CED"/>
    <w:rsid w:val="002D3CBC"/>
    <w:rsid w:val="002D4D33"/>
    <w:rsid w:val="002E72B0"/>
    <w:rsid w:val="00307128"/>
    <w:rsid w:val="003155AE"/>
    <w:rsid w:val="003158DC"/>
    <w:rsid w:val="00315DFB"/>
    <w:rsid w:val="00331292"/>
    <w:rsid w:val="00331A5F"/>
    <w:rsid w:val="003372AB"/>
    <w:rsid w:val="003419A9"/>
    <w:rsid w:val="00362BC1"/>
    <w:rsid w:val="003734E1"/>
    <w:rsid w:val="00375FF4"/>
    <w:rsid w:val="003808DF"/>
    <w:rsid w:val="003841F2"/>
    <w:rsid w:val="003848A8"/>
    <w:rsid w:val="00393C49"/>
    <w:rsid w:val="003947C6"/>
    <w:rsid w:val="003962BC"/>
    <w:rsid w:val="0039789F"/>
    <w:rsid w:val="003A0878"/>
    <w:rsid w:val="003A70A9"/>
    <w:rsid w:val="003B286E"/>
    <w:rsid w:val="003C2109"/>
    <w:rsid w:val="003C23CC"/>
    <w:rsid w:val="003C7159"/>
    <w:rsid w:val="003D1987"/>
    <w:rsid w:val="003D4E4D"/>
    <w:rsid w:val="003D5968"/>
    <w:rsid w:val="003D79AF"/>
    <w:rsid w:val="003E19A5"/>
    <w:rsid w:val="003E401B"/>
    <w:rsid w:val="003F31D4"/>
    <w:rsid w:val="004052A2"/>
    <w:rsid w:val="00407D6A"/>
    <w:rsid w:val="004309AB"/>
    <w:rsid w:val="004430EF"/>
    <w:rsid w:val="004464FF"/>
    <w:rsid w:val="004505E4"/>
    <w:rsid w:val="0045120B"/>
    <w:rsid w:val="00454B3B"/>
    <w:rsid w:val="00455D2D"/>
    <w:rsid w:val="00463660"/>
    <w:rsid w:val="0046715F"/>
    <w:rsid w:val="004739CE"/>
    <w:rsid w:val="0048547E"/>
    <w:rsid w:val="004859B9"/>
    <w:rsid w:val="004945AD"/>
    <w:rsid w:val="00497790"/>
    <w:rsid w:val="004A21ED"/>
    <w:rsid w:val="004A5F4B"/>
    <w:rsid w:val="004A6C08"/>
    <w:rsid w:val="004B73BD"/>
    <w:rsid w:val="004D1DDA"/>
    <w:rsid w:val="004D3B79"/>
    <w:rsid w:val="004D404A"/>
    <w:rsid w:val="004D7B62"/>
    <w:rsid w:val="004E1E07"/>
    <w:rsid w:val="004E4376"/>
    <w:rsid w:val="004F0912"/>
    <w:rsid w:val="0050578E"/>
    <w:rsid w:val="0051468B"/>
    <w:rsid w:val="005212E3"/>
    <w:rsid w:val="005241CC"/>
    <w:rsid w:val="00541ACE"/>
    <w:rsid w:val="00546FD1"/>
    <w:rsid w:val="00550F48"/>
    <w:rsid w:val="0055128E"/>
    <w:rsid w:val="00551F78"/>
    <w:rsid w:val="0055756A"/>
    <w:rsid w:val="00563CDE"/>
    <w:rsid w:val="005745EF"/>
    <w:rsid w:val="005843F2"/>
    <w:rsid w:val="005861A5"/>
    <w:rsid w:val="005901CC"/>
    <w:rsid w:val="005A4EBE"/>
    <w:rsid w:val="005A71E3"/>
    <w:rsid w:val="005E5BF6"/>
    <w:rsid w:val="005F3A84"/>
    <w:rsid w:val="005F57F0"/>
    <w:rsid w:val="005F5C5C"/>
    <w:rsid w:val="0060261E"/>
    <w:rsid w:val="00604DA8"/>
    <w:rsid w:val="00612AF1"/>
    <w:rsid w:val="00614512"/>
    <w:rsid w:val="00616842"/>
    <w:rsid w:val="00617137"/>
    <w:rsid w:val="0062465B"/>
    <w:rsid w:val="0062663C"/>
    <w:rsid w:val="00631A0A"/>
    <w:rsid w:val="0064349F"/>
    <w:rsid w:val="00644BE4"/>
    <w:rsid w:val="0064680E"/>
    <w:rsid w:val="00660106"/>
    <w:rsid w:val="006611C8"/>
    <w:rsid w:val="00661654"/>
    <w:rsid w:val="006648A4"/>
    <w:rsid w:val="00664A09"/>
    <w:rsid w:val="006669C6"/>
    <w:rsid w:val="00667850"/>
    <w:rsid w:val="00673838"/>
    <w:rsid w:val="00681877"/>
    <w:rsid w:val="006834B1"/>
    <w:rsid w:val="00683FAF"/>
    <w:rsid w:val="0068614C"/>
    <w:rsid w:val="00687C1C"/>
    <w:rsid w:val="00693220"/>
    <w:rsid w:val="00694BBF"/>
    <w:rsid w:val="006B176A"/>
    <w:rsid w:val="006C22D7"/>
    <w:rsid w:val="006C614E"/>
    <w:rsid w:val="006C636D"/>
    <w:rsid w:val="006D479F"/>
    <w:rsid w:val="006D6245"/>
    <w:rsid w:val="006E689D"/>
    <w:rsid w:val="006E764F"/>
    <w:rsid w:val="007028F2"/>
    <w:rsid w:val="007075C1"/>
    <w:rsid w:val="00707937"/>
    <w:rsid w:val="007101F3"/>
    <w:rsid w:val="00715999"/>
    <w:rsid w:val="007258BA"/>
    <w:rsid w:val="00727B1A"/>
    <w:rsid w:val="007312AA"/>
    <w:rsid w:val="0073144B"/>
    <w:rsid w:val="00733CE9"/>
    <w:rsid w:val="0073410F"/>
    <w:rsid w:val="00737167"/>
    <w:rsid w:val="00755B07"/>
    <w:rsid w:val="0076124C"/>
    <w:rsid w:val="00781172"/>
    <w:rsid w:val="0078691C"/>
    <w:rsid w:val="007A54BB"/>
    <w:rsid w:val="007B44FB"/>
    <w:rsid w:val="007B769F"/>
    <w:rsid w:val="007C0230"/>
    <w:rsid w:val="007D38F7"/>
    <w:rsid w:val="007D7642"/>
    <w:rsid w:val="007E53B8"/>
    <w:rsid w:val="007E67D0"/>
    <w:rsid w:val="007E6D96"/>
    <w:rsid w:val="007F1789"/>
    <w:rsid w:val="007F18C7"/>
    <w:rsid w:val="007F1D3B"/>
    <w:rsid w:val="007F29B2"/>
    <w:rsid w:val="008001C3"/>
    <w:rsid w:val="008038AC"/>
    <w:rsid w:val="0080667F"/>
    <w:rsid w:val="00807AA4"/>
    <w:rsid w:val="00815648"/>
    <w:rsid w:val="008162D3"/>
    <w:rsid w:val="00822659"/>
    <w:rsid w:val="00824AC8"/>
    <w:rsid w:val="00831A52"/>
    <w:rsid w:val="00844CF0"/>
    <w:rsid w:val="00845327"/>
    <w:rsid w:val="00845EFB"/>
    <w:rsid w:val="0084687D"/>
    <w:rsid w:val="00852354"/>
    <w:rsid w:val="008709FE"/>
    <w:rsid w:val="00871691"/>
    <w:rsid w:val="00874151"/>
    <w:rsid w:val="008819B7"/>
    <w:rsid w:val="00883A89"/>
    <w:rsid w:val="00884DBA"/>
    <w:rsid w:val="00886B43"/>
    <w:rsid w:val="0089432F"/>
    <w:rsid w:val="00895A44"/>
    <w:rsid w:val="008A3D07"/>
    <w:rsid w:val="008A42EA"/>
    <w:rsid w:val="008A683E"/>
    <w:rsid w:val="008C0AAF"/>
    <w:rsid w:val="008E3AEF"/>
    <w:rsid w:val="008E7691"/>
    <w:rsid w:val="008F2986"/>
    <w:rsid w:val="008F7407"/>
    <w:rsid w:val="0090159D"/>
    <w:rsid w:val="009034B7"/>
    <w:rsid w:val="009035C8"/>
    <w:rsid w:val="00903783"/>
    <w:rsid w:val="00911027"/>
    <w:rsid w:val="0091771D"/>
    <w:rsid w:val="00921BEE"/>
    <w:rsid w:val="00924435"/>
    <w:rsid w:val="00931888"/>
    <w:rsid w:val="0093525F"/>
    <w:rsid w:val="009636CF"/>
    <w:rsid w:val="009648FC"/>
    <w:rsid w:val="00965CB3"/>
    <w:rsid w:val="009700ED"/>
    <w:rsid w:val="009839A7"/>
    <w:rsid w:val="00987F47"/>
    <w:rsid w:val="00995ABF"/>
    <w:rsid w:val="00995E33"/>
    <w:rsid w:val="009A439A"/>
    <w:rsid w:val="009A56CD"/>
    <w:rsid w:val="009A6B82"/>
    <w:rsid w:val="009A6C8B"/>
    <w:rsid w:val="009B1EFD"/>
    <w:rsid w:val="009D64D3"/>
    <w:rsid w:val="009E5874"/>
    <w:rsid w:val="009F1E1F"/>
    <w:rsid w:val="009F3E32"/>
    <w:rsid w:val="009F56DC"/>
    <w:rsid w:val="00A07E4E"/>
    <w:rsid w:val="00A102D8"/>
    <w:rsid w:val="00A135F1"/>
    <w:rsid w:val="00A1360E"/>
    <w:rsid w:val="00A13C0C"/>
    <w:rsid w:val="00A14056"/>
    <w:rsid w:val="00A16FDE"/>
    <w:rsid w:val="00A208CB"/>
    <w:rsid w:val="00A2393F"/>
    <w:rsid w:val="00A3470D"/>
    <w:rsid w:val="00A3755A"/>
    <w:rsid w:val="00A37DF4"/>
    <w:rsid w:val="00A50193"/>
    <w:rsid w:val="00A5277F"/>
    <w:rsid w:val="00A57C95"/>
    <w:rsid w:val="00A65940"/>
    <w:rsid w:val="00A734FA"/>
    <w:rsid w:val="00A820DD"/>
    <w:rsid w:val="00A834EF"/>
    <w:rsid w:val="00A9376C"/>
    <w:rsid w:val="00AB0331"/>
    <w:rsid w:val="00AB58B8"/>
    <w:rsid w:val="00AB5AE8"/>
    <w:rsid w:val="00AC3528"/>
    <w:rsid w:val="00AD15D3"/>
    <w:rsid w:val="00AE3F9F"/>
    <w:rsid w:val="00B03D7E"/>
    <w:rsid w:val="00B079C2"/>
    <w:rsid w:val="00B16DB5"/>
    <w:rsid w:val="00B17603"/>
    <w:rsid w:val="00B222CC"/>
    <w:rsid w:val="00B22911"/>
    <w:rsid w:val="00B279B4"/>
    <w:rsid w:val="00B3236C"/>
    <w:rsid w:val="00B35D9D"/>
    <w:rsid w:val="00B4152F"/>
    <w:rsid w:val="00B44672"/>
    <w:rsid w:val="00B4623D"/>
    <w:rsid w:val="00B53403"/>
    <w:rsid w:val="00B6011E"/>
    <w:rsid w:val="00B70407"/>
    <w:rsid w:val="00B85DA9"/>
    <w:rsid w:val="00B92109"/>
    <w:rsid w:val="00B92748"/>
    <w:rsid w:val="00BA0B13"/>
    <w:rsid w:val="00BB0996"/>
    <w:rsid w:val="00BB1F19"/>
    <w:rsid w:val="00BD338F"/>
    <w:rsid w:val="00BD3C55"/>
    <w:rsid w:val="00BD3E50"/>
    <w:rsid w:val="00BD53DB"/>
    <w:rsid w:val="00BE1026"/>
    <w:rsid w:val="00BE57FB"/>
    <w:rsid w:val="00BE6DC2"/>
    <w:rsid w:val="00BF0ECD"/>
    <w:rsid w:val="00C0252C"/>
    <w:rsid w:val="00C033DA"/>
    <w:rsid w:val="00C07257"/>
    <w:rsid w:val="00C13090"/>
    <w:rsid w:val="00C145B9"/>
    <w:rsid w:val="00C1594B"/>
    <w:rsid w:val="00C162CC"/>
    <w:rsid w:val="00C17DAF"/>
    <w:rsid w:val="00C2140F"/>
    <w:rsid w:val="00C221F8"/>
    <w:rsid w:val="00C2404E"/>
    <w:rsid w:val="00C43DD3"/>
    <w:rsid w:val="00C53543"/>
    <w:rsid w:val="00C60AD5"/>
    <w:rsid w:val="00C6440F"/>
    <w:rsid w:val="00C70790"/>
    <w:rsid w:val="00C833BD"/>
    <w:rsid w:val="00C96A26"/>
    <w:rsid w:val="00CB4B33"/>
    <w:rsid w:val="00CB77BD"/>
    <w:rsid w:val="00CB7B51"/>
    <w:rsid w:val="00CC37CC"/>
    <w:rsid w:val="00CC5F71"/>
    <w:rsid w:val="00CD4F9A"/>
    <w:rsid w:val="00CE19EA"/>
    <w:rsid w:val="00CE2D62"/>
    <w:rsid w:val="00CE49D2"/>
    <w:rsid w:val="00D0432A"/>
    <w:rsid w:val="00D06425"/>
    <w:rsid w:val="00D06CCD"/>
    <w:rsid w:val="00D14DFF"/>
    <w:rsid w:val="00D206CC"/>
    <w:rsid w:val="00D242C3"/>
    <w:rsid w:val="00D253DD"/>
    <w:rsid w:val="00D51FA9"/>
    <w:rsid w:val="00D5365E"/>
    <w:rsid w:val="00D54187"/>
    <w:rsid w:val="00D62FD1"/>
    <w:rsid w:val="00D6645A"/>
    <w:rsid w:val="00D72B40"/>
    <w:rsid w:val="00D74EBB"/>
    <w:rsid w:val="00D77DF6"/>
    <w:rsid w:val="00D806F8"/>
    <w:rsid w:val="00D84055"/>
    <w:rsid w:val="00D9476D"/>
    <w:rsid w:val="00DB2832"/>
    <w:rsid w:val="00DC67BE"/>
    <w:rsid w:val="00DC6C16"/>
    <w:rsid w:val="00DC7349"/>
    <w:rsid w:val="00DC7BE0"/>
    <w:rsid w:val="00DD0D9F"/>
    <w:rsid w:val="00DE109B"/>
    <w:rsid w:val="00DE1856"/>
    <w:rsid w:val="00DE4296"/>
    <w:rsid w:val="00DE72DD"/>
    <w:rsid w:val="00DF488C"/>
    <w:rsid w:val="00E05ABD"/>
    <w:rsid w:val="00E24128"/>
    <w:rsid w:val="00E35B77"/>
    <w:rsid w:val="00E35FC7"/>
    <w:rsid w:val="00E418C1"/>
    <w:rsid w:val="00E46E3E"/>
    <w:rsid w:val="00E6466A"/>
    <w:rsid w:val="00E72479"/>
    <w:rsid w:val="00E72798"/>
    <w:rsid w:val="00E7653E"/>
    <w:rsid w:val="00E76660"/>
    <w:rsid w:val="00E77EDF"/>
    <w:rsid w:val="00E807DA"/>
    <w:rsid w:val="00E810CA"/>
    <w:rsid w:val="00E82185"/>
    <w:rsid w:val="00E87AA2"/>
    <w:rsid w:val="00E94DBF"/>
    <w:rsid w:val="00E96FC9"/>
    <w:rsid w:val="00EA4C48"/>
    <w:rsid w:val="00EB0FEF"/>
    <w:rsid w:val="00EB20DC"/>
    <w:rsid w:val="00EB5551"/>
    <w:rsid w:val="00EB6531"/>
    <w:rsid w:val="00EB69EB"/>
    <w:rsid w:val="00EC08A5"/>
    <w:rsid w:val="00EE1DB7"/>
    <w:rsid w:val="00EE61EF"/>
    <w:rsid w:val="00EF563E"/>
    <w:rsid w:val="00EF7235"/>
    <w:rsid w:val="00F23023"/>
    <w:rsid w:val="00F30774"/>
    <w:rsid w:val="00F447C4"/>
    <w:rsid w:val="00F53CDC"/>
    <w:rsid w:val="00F569C0"/>
    <w:rsid w:val="00F56D4F"/>
    <w:rsid w:val="00F813D3"/>
    <w:rsid w:val="00F81F8C"/>
    <w:rsid w:val="00F91132"/>
    <w:rsid w:val="00F94E7D"/>
    <w:rsid w:val="00F9503F"/>
    <w:rsid w:val="00FA2793"/>
    <w:rsid w:val="00FC3D78"/>
    <w:rsid w:val="00FC7BB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rsid w:val="00A834EF"/>
    <w:pPr>
      <w:spacing w:after="120"/>
    </w:p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Recuodecorpodetexto">
    <w:name w:val="Body Text Indent"/>
    <w:basedOn w:val="Normal"/>
    <w:rsid w:val="00A834EF"/>
    <w:pPr>
      <w:ind w:firstLine="2340"/>
      <w:jc w:val="both"/>
    </w:pPr>
  </w:style>
  <w:style w:type="paragraph" w:styleId="Cabealho">
    <w:name w:val="header"/>
    <w:basedOn w:val="Normal"/>
    <w:rsid w:val="00A834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A834EF"/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20"/>
    <w:qFormat/>
    <w:rsid w:val="00AC3528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51468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bhbs@uol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igrh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5EFD-357C-48CF-BAE5-E0C5EA3C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7159</Words>
  <Characters>38659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45727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usuario</cp:lastModifiedBy>
  <cp:revision>9</cp:revision>
  <cp:lastPrinted>2013-07-18T15:54:00Z</cp:lastPrinted>
  <dcterms:created xsi:type="dcterms:W3CDTF">2014-07-11T19:46:00Z</dcterms:created>
  <dcterms:modified xsi:type="dcterms:W3CDTF">2014-08-08T14:36:00Z</dcterms:modified>
</cp:coreProperties>
</file>